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FC3D1" w14:textId="77777777" w:rsidR="00E433D5" w:rsidRDefault="00E433D5"/>
    <w:p w14:paraId="4467F042" w14:textId="77777777" w:rsidR="00733D5A" w:rsidRDefault="00733D5A"/>
    <w:p w14:paraId="6278EAD1" w14:textId="77777777" w:rsidR="00733D5A" w:rsidRDefault="00733D5A"/>
    <w:p w14:paraId="53D541C5" w14:textId="77777777" w:rsidR="00733D5A" w:rsidRDefault="00733D5A"/>
    <w:p w14:paraId="37490759" w14:textId="77777777" w:rsidR="00733D5A" w:rsidRDefault="00733D5A"/>
    <w:p w14:paraId="07ABA093" w14:textId="77777777" w:rsidR="00733D5A" w:rsidRDefault="00733D5A"/>
    <w:p w14:paraId="5E3BE691" w14:textId="77777777" w:rsidR="00733D5A" w:rsidRDefault="00733D5A"/>
    <w:p w14:paraId="6346A3E1" w14:textId="77777777" w:rsidR="00D00FC5" w:rsidRDefault="00D00FC5"/>
    <w:p w14:paraId="3B09273C" w14:textId="77777777" w:rsidR="00733D5A" w:rsidRDefault="00733D5A"/>
    <w:p w14:paraId="664C29A0" w14:textId="70A8D771" w:rsidR="00733D5A" w:rsidRDefault="00B37523" w:rsidP="00D92EB9">
      <w:pPr>
        <w:pBdr>
          <w:bottom w:val="single" w:sz="6" w:space="1" w:color="auto"/>
        </w:pBdr>
        <w:jc w:val="center"/>
        <w:rPr>
          <w:b/>
          <w:smallCaps/>
          <w:sz w:val="44"/>
          <w:szCs w:val="40"/>
        </w:rPr>
      </w:pPr>
      <w:r>
        <w:rPr>
          <w:b/>
          <w:smallCaps/>
          <w:sz w:val="44"/>
          <w:szCs w:val="40"/>
        </w:rPr>
        <w:t>CAFOs: Plaguing</w:t>
      </w:r>
      <w:r w:rsidR="00D92EB9">
        <w:rPr>
          <w:b/>
          <w:smallCaps/>
          <w:sz w:val="44"/>
          <w:szCs w:val="40"/>
        </w:rPr>
        <w:t xml:space="preserve"> </w:t>
      </w:r>
      <w:r w:rsidR="00D87518">
        <w:rPr>
          <w:b/>
          <w:smallCaps/>
          <w:sz w:val="44"/>
          <w:szCs w:val="40"/>
        </w:rPr>
        <w:t xml:space="preserve">Vulnerable </w:t>
      </w:r>
      <w:r w:rsidR="00141DAF">
        <w:rPr>
          <w:b/>
          <w:smallCaps/>
          <w:sz w:val="44"/>
          <w:szCs w:val="40"/>
        </w:rPr>
        <w:br/>
      </w:r>
      <w:r w:rsidR="009217DB">
        <w:rPr>
          <w:b/>
          <w:smallCaps/>
          <w:sz w:val="44"/>
          <w:szCs w:val="40"/>
        </w:rPr>
        <w:t xml:space="preserve">North Carolina </w:t>
      </w:r>
      <w:r w:rsidR="00D92EB9">
        <w:rPr>
          <w:b/>
          <w:smallCaps/>
          <w:sz w:val="44"/>
          <w:szCs w:val="40"/>
        </w:rPr>
        <w:t xml:space="preserve">Communities </w:t>
      </w:r>
      <w:r w:rsidR="00DC3CC3">
        <w:rPr>
          <w:b/>
          <w:smallCaps/>
          <w:sz w:val="44"/>
          <w:szCs w:val="40"/>
        </w:rPr>
        <w:t>of Color</w:t>
      </w:r>
      <w:r w:rsidR="009A04E0">
        <w:rPr>
          <w:b/>
          <w:smallCaps/>
          <w:sz w:val="44"/>
          <w:szCs w:val="40"/>
        </w:rPr>
        <w:t xml:space="preserve"> </w:t>
      </w:r>
    </w:p>
    <w:p w14:paraId="12E5C4F5" w14:textId="77777777" w:rsidR="00733D5A" w:rsidRDefault="00733D5A" w:rsidP="00733D5A">
      <w:pPr>
        <w:pBdr>
          <w:bottom w:val="single" w:sz="6" w:space="1" w:color="auto"/>
        </w:pBdr>
        <w:jc w:val="center"/>
        <w:rPr>
          <w:sz w:val="40"/>
        </w:rPr>
      </w:pPr>
    </w:p>
    <w:p w14:paraId="13C198B7" w14:textId="77777777" w:rsidR="00733D5A" w:rsidRDefault="00733D5A" w:rsidP="00733D5A">
      <w:pPr>
        <w:jc w:val="center"/>
        <w:rPr>
          <w:sz w:val="40"/>
        </w:rPr>
      </w:pPr>
    </w:p>
    <w:p w14:paraId="050C5051" w14:textId="77777777" w:rsidR="00733D5A" w:rsidRDefault="00733D5A" w:rsidP="00733D5A">
      <w:pPr>
        <w:jc w:val="center"/>
        <w:rPr>
          <w:smallCaps/>
          <w:sz w:val="40"/>
          <w:szCs w:val="40"/>
        </w:rPr>
      </w:pPr>
      <w:r w:rsidRPr="009A04E0">
        <w:rPr>
          <w:smallCaps/>
          <w:sz w:val="40"/>
          <w:szCs w:val="40"/>
        </w:rPr>
        <w:t>Christine Ball-Blakely</w:t>
      </w:r>
    </w:p>
    <w:p w14:paraId="62CDA56A" w14:textId="3452E587" w:rsidR="00212329" w:rsidRPr="009A04E0" w:rsidRDefault="00212329" w:rsidP="00733D5A">
      <w:pPr>
        <w:jc w:val="center"/>
        <w:rPr>
          <w:smallCaps/>
          <w:sz w:val="40"/>
          <w:szCs w:val="40"/>
        </w:rPr>
      </w:pPr>
      <w:r>
        <w:rPr>
          <w:smallCaps/>
          <w:sz w:val="40"/>
          <w:szCs w:val="40"/>
        </w:rPr>
        <w:t>University of Tennessee College of Law</w:t>
      </w:r>
    </w:p>
    <w:p w14:paraId="52B4B481" w14:textId="79023A26" w:rsidR="00212329" w:rsidRDefault="00733D5A" w:rsidP="00212329">
      <w:pPr>
        <w:jc w:val="center"/>
        <w:rPr>
          <w:smallCaps/>
          <w:sz w:val="40"/>
          <w:szCs w:val="40"/>
        </w:rPr>
      </w:pPr>
      <w:r w:rsidRPr="009A04E0">
        <w:rPr>
          <w:smallCaps/>
          <w:sz w:val="40"/>
          <w:szCs w:val="40"/>
        </w:rPr>
        <w:t>Environmental Law Seminar</w:t>
      </w:r>
    </w:p>
    <w:p w14:paraId="3733F90E" w14:textId="797D9BC4" w:rsidR="0084253E" w:rsidRPr="009A04E0" w:rsidRDefault="0084253E" w:rsidP="00212329">
      <w:pPr>
        <w:jc w:val="center"/>
        <w:rPr>
          <w:smallCaps/>
          <w:sz w:val="40"/>
          <w:szCs w:val="40"/>
        </w:rPr>
      </w:pPr>
      <w:r w:rsidRPr="009A04E0">
        <w:rPr>
          <w:smallCaps/>
          <w:sz w:val="40"/>
          <w:szCs w:val="40"/>
        </w:rPr>
        <w:t xml:space="preserve">Professor Dean Hill </w:t>
      </w:r>
      <w:proofErr w:type="spellStart"/>
      <w:r w:rsidRPr="009A04E0">
        <w:rPr>
          <w:smallCaps/>
          <w:sz w:val="40"/>
          <w:szCs w:val="40"/>
        </w:rPr>
        <w:t>Rivkin</w:t>
      </w:r>
      <w:proofErr w:type="spellEnd"/>
    </w:p>
    <w:p w14:paraId="62324C63" w14:textId="2584FE15" w:rsidR="00733D5A" w:rsidRPr="009A04E0" w:rsidRDefault="00957E6B" w:rsidP="00733D5A">
      <w:pPr>
        <w:jc w:val="center"/>
        <w:rPr>
          <w:smallCaps/>
          <w:sz w:val="40"/>
          <w:szCs w:val="40"/>
        </w:rPr>
      </w:pPr>
      <w:r>
        <w:rPr>
          <w:smallCaps/>
          <w:sz w:val="40"/>
          <w:szCs w:val="40"/>
        </w:rPr>
        <w:t>May 11, 2017</w:t>
      </w:r>
    </w:p>
    <w:p w14:paraId="3EA966B4" w14:textId="2A19B4A5" w:rsidR="00733D5A" w:rsidRDefault="00733D5A" w:rsidP="00733D5A">
      <w:pPr>
        <w:jc w:val="center"/>
        <w:rPr>
          <w:smallCaps/>
          <w:sz w:val="40"/>
          <w:szCs w:val="40"/>
        </w:rPr>
      </w:pPr>
    </w:p>
    <w:p w14:paraId="6E731AD0" w14:textId="77777777" w:rsidR="00BF206A" w:rsidRPr="009A04E0" w:rsidRDefault="00BF206A" w:rsidP="00733D5A">
      <w:pPr>
        <w:jc w:val="center"/>
        <w:rPr>
          <w:smallCaps/>
          <w:sz w:val="40"/>
          <w:szCs w:val="40"/>
        </w:rPr>
      </w:pPr>
    </w:p>
    <w:p w14:paraId="255D827A" w14:textId="77777777" w:rsidR="00116432" w:rsidRDefault="00116432" w:rsidP="00733D5A">
      <w:pPr>
        <w:jc w:val="center"/>
        <w:rPr>
          <w:sz w:val="40"/>
        </w:rPr>
      </w:pPr>
    </w:p>
    <w:p w14:paraId="0F6346CF" w14:textId="77777777" w:rsidR="00116432" w:rsidRDefault="00116432" w:rsidP="00733D5A">
      <w:pPr>
        <w:jc w:val="center"/>
        <w:rPr>
          <w:sz w:val="40"/>
        </w:rPr>
      </w:pPr>
    </w:p>
    <w:p w14:paraId="6EA0276C" w14:textId="77777777" w:rsidR="00116432" w:rsidRDefault="00116432" w:rsidP="00733D5A">
      <w:pPr>
        <w:jc w:val="center"/>
        <w:rPr>
          <w:sz w:val="40"/>
        </w:rPr>
      </w:pPr>
    </w:p>
    <w:p w14:paraId="11154B3B" w14:textId="77777777" w:rsidR="00116432" w:rsidRDefault="00116432" w:rsidP="00733D5A">
      <w:pPr>
        <w:jc w:val="center"/>
        <w:rPr>
          <w:sz w:val="40"/>
        </w:rPr>
      </w:pPr>
    </w:p>
    <w:p w14:paraId="78F3C69C" w14:textId="77777777" w:rsidR="00116432" w:rsidRDefault="00116432" w:rsidP="00733D5A">
      <w:pPr>
        <w:jc w:val="center"/>
        <w:rPr>
          <w:sz w:val="40"/>
        </w:rPr>
      </w:pPr>
    </w:p>
    <w:p w14:paraId="3B174702" w14:textId="77777777" w:rsidR="00116432" w:rsidRDefault="00116432" w:rsidP="00733D5A">
      <w:pPr>
        <w:jc w:val="center"/>
        <w:rPr>
          <w:sz w:val="40"/>
        </w:rPr>
      </w:pPr>
    </w:p>
    <w:p w14:paraId="070BE6C8" w14:textId="77777777" w:rsidR="00116432" w:rsidRDefault="00116432" w:rsidP="00733D5A">
      <w:pPr>
        <w:jc w:val="center"/>
        <w:rPr>
          <w:sz w:val="40"/>
        </w:rPr>
      </w:pPr>
    </w:p>
    <w:p w14:paraId="6EA12BF8" w14:textId="77777777" w:rsidR="00116432" w:rsidRDefault="00116432" w:rsidP="00733D5A">
      <w:pPr>
        <w:jc w:val="center"/>
        <w:rPr>
          <w:sz w:val="40"/>
        </w:rPr>
      </w:pPr>
    </w:p>
    <w:p w14:paraId="7D0513AA" w14:textId="77777777" w:rsidR="003B291C" w:rsidRDefault="003B291C" w:rsidP="00116432">
      <w:pPr>
        <w:spacing w:line="480" w:lineRule="auto"/>
        <w:rPr>
          <w:sz w:val="40"/>
        </w:rPr>
      </w:pPr>
    </w:p>
    <w:p w14:paraId="1349FD36" w14:textId="77777777" w:rsidR="00EF2029" w:rsidRDefault="00EF2029" w:rsidP="00116432">
      <w:pPr>
        <w:spacing w:line="480" w:lineRule="auto"/>
        <w:rPr>
          <w:sz w:val="40"/>
        </w:rPr>
      </w:pPr>
    </w:p>
    <w:p w14:paraId="5CCE1C2C" w14:textId="420ADBCA" w:rsidR="00116432" w:rsidRPr="003B291C" w:rsidRDefault="00116432" w:rsidP="00116432">
      <w:pPr>
        <w:spacing w:line="480" w:lineRule="auto"/>
        <w:rPr>
          <w:b/>
        </w:rPr>
      </w:pPr>
      <w:r w:rsidRPr="003B4E36">
        <w:rPr>
          <w:b/>
          <w:sz w:val="26"/>
          <w:szCs w:val="26"/>
        </w:rPr>
        <w:lastRenderedPageBreak/>
        <w:t>I.</w:t>
      </w:r>
      <w:r w:rsidRPr="003B4E36">
        <w:rPr>
          <w:b/>
          <w:sz w:val="26"/>
          <w:szCs w:val="26"/>
        </w:rPr>
        <w:tab/>
        <w:t>Introduction</w:t>
      </w:r>
    </w:p>
    <w:p w14:paraId="17B298B2" w14:textId="1E59D7BD" w:rsidR="00B81EAA" w:rsidRDefault="00D00FC5" w:rsidP="00847910">
      <w:pPr>
        <w:spacing w:line="480" w:lineRule="auto"/>
        <w:jc w:val="both"/>
      </w:pPr>
      <w:r>
        <w:rPr>
          <w:b/>
        </w:rPr>
        <w:tab/>
      </w:r>
      <w:r w:rsidR="003C2300">
        <w:t xml:space="preserve">Grocery shopping </w:t>
      </w:r>
      <w:r w:rsidR="0003599C">
        <w:t>has become</w:t>
      </w:r>
      <w:r w:rsidR="003C2300">
        <w:t xml:space="preserve"> a </w:t>
      </w:r>
      <w:r w:rsidR="005A083D">
        <w:t>f</w:t>
      </w:r>
      <w:r w:rsidR="0003599C">
        <w:t>oraging expedition</w:t>
      </w:r>
      <w:r w:rsidR="005A083D">
        <w:t xml:space="preserve"> </w:t>
      </w:r>
      <w:r w:rsidR="000300EB">
        <w:t>through</w:t>
      </w:r>
      <w:r w:rsidR="005A083D">
        <w:t xml:space="preserve"> a </w:t>
      </w:r>
      <w:r w:rsidR="00847910">
        <w:t>market</w:t>
      </w:r>
      <w:r w:rsidR="005A083D">
        <w:t xml:space="preserve"> of lies. The coolers are stocked with milk cartons </w:t>
      </w:r>
      <w:r w:rsidR="00064132">
        <w:t>boasting</w:t>
      </w:r>
      <w:r w:rsidR="005A083D">
        <w:t xml:space="preserve"> pastoral scenes of cows grazing on </w:t>
      </w:r>
      <w:r w:rsidR="008D390C">
        <w:t>verdant</w:t>
      </w:r>
      <w:r w:rsidR="005A083D">
        <w:t xml:space="preserve"> hills.</w:t>
      </w:r>
      <w:r w:rsidR="00F601D7">
        <w:t xml:space="preserve"> Egg cartons</w:t>
      </w:r>
      <w:r w:rsidR="002D5C4E">
        <w:t xml:space="preserve"> are </w:t>
      </w:r>
      <w:r w:rsidR="00F601D7">
        <w:t>stamped</w:t>
      </w:r>
      <w:r w:rsidR="00B65791">
        <w:t xml:space="preserve"> “all-natural.”</w:t>
      </w:r>
      <w:r w:rsidR="005A083D">
        <w:t xml:space="preserve"> </w:t>
      </w:r>
      <w:r w:rsidR="00B81EAA">
        <w:t>Sausage</w:t>
      </w:r>
      <w:r w:rsidR="00D427AD">
        <w:t xml:space="preserve"> is </w:t>
      </w:r>
      <w:r w:rsidR="000C7865">
        <w:t xml:space="preserve">neatly </w:t>
      </w:r>
      <w:r w:rsidR="00D427AD">
        <w:t xml:space="preserve">packaged in a tube and </w:t>
      </w:r>
      <w:r w:rsidR="000C7865">
        <w:t xml:space="preserve">emblazoned </w:t>
      </w:r>
      <w:r w:rsidR="00D806EA">
        <w:t>wi</w:t>
      </w:r>
      <w:r w:rsidR="00F105C8">
        <w:t>th a</w:t>
      </w:r>
      <w:r w:rsidR="000842DA">
        <w:t xml:space="preserve"> red barn</w:t>
      </w:r>
      <w:r w:rsidR="00D806EA">
        <w:t xml:space="preserve">. </w:t>
      </w:r>
      <w:r w:rsidR="00E660BA">
        <w:t>But</w:t>
      </w:r>
      <w:r w:rsidR="000C7865">
        <w:t xml:space="preserve"> the origins</w:t>
      </w:r>
      <w:r w:rsidR="00E224E4">
        <w:t xml:space="preserve"> of most meat and dairy products are far divorced from</w:t>
      </w:r>
      <w:r w:rsidR="000C7865">
        <w:t xml:space="preserve"> such depictions of</w:t>
      </w:r>
      <w:r w:rsidR="00E224E4">
        <w:t xml:space="preserve"> traditional farming. </w:t>
      </w:r>
      <w:r w:rsidR="008D390C">
        <w:t>In stark contrast, animal products are overwhelmingly produced in Concentrated Animal</w:t>
      </w:r>
      <w:r w:rsidR="00C4477C">
        <w:t xml:space="preserve"> Feeding Operations (“CAFOs”)</w:t>
      </w:r>
      <w:r w:rsidR="00C4477C" w:rsidRPr="00C4477C">
        <w:t>—</w:t>
      </w:r>
      <w:r w:rsidR="008D390C">
        <w:t>othe</w:t>
      </w:r>
      <w:r w:rsidR="00B81EAA">
        <w:t xml:space="preserve">rwise known as “factory farms.” </w:t>
      </w:r>
    </w:p>
    <w:p w14:paraId="4D565C5E" w14:textId="51C5E392" w:rsidR="008D390C" w:rsidRDefault="008D390C" w:rsidP="00B81EAA">
      <w:pPr>
        <w:spacing w:line="480" w:lineRule="auto"/>
        <w:ind w:firstLine="720"/>
        <w:jc w:val="both"/>
      </w:pPr>
      <w:r>
        <w:t>The Environmental Protection Agency (“EPA”) defines CAFOs as</w:t>
      </w:r>
      <w:r w:rsidR="005A5835">
        <w:t xml:space="preserve"> particular types of</w:t>
      </w:r>
      <w:r w:rsidR="00383091">
        <w:t xml:space="preserve"> </w:t>
      </w:r>
      <w:r>
        <w:t>Animal Feeding Operations (“AFOs”).</w:t>
      </w:r>
      <w:r>
        <w:rPr>
          <w:rStyle w:val="FootnoteReference"/>
        </w:rPr>
        <w:footnoteReference w:id="1"/>
      </w:r>
      <w:r>
        <w:t xml:space="preserve"> AFOs are </w:t>
      </w:r>
      <w:r w:rsidR="0006457F">
        <w:t>facilities</w:t>
      </w:r>
      <w:r>
        <w:t xml:space="preserve"> where animals are confined together in a small area, along with “feed, manure and urine, dead animals, and production operations.”</w:t>
      </w:r>
      <w:r>
        <w:rPr>
          <w:rStyle w:val="FootnoteReference"/>
        </w:rPr>
        <w:footnoteReference w:id="2"/>
      </w:r>
      <w:r w:rsidR="00F601D7">
        <w:t xml:space="preserve"> In AFOs, food</w:t>
      </w:r>
      <w:r w:rsidR="00B65791">
        <w:t xml:space="preserve"> is delivered to the animals rather than the animals grazing in pastures.</w:t>
      </w:r>
      <w:r w:rsidR="00B65791">
        <w:rPr>
          <w:rStyle w:val="FootnoteReference"/>
        </w:rPr>
        <w:footnoteReference w:id="3"/>
      </w:r>
      <w:r w:rsidR="005A5835">
        <w:t xml:space="preserve"> </w:t>
      </w:r>
      <w:r w:rsidR="00847910">
        <w:t xml:space="preserve">AFOs are </w:t>
      </w:r>
      <w:r w:rsidR="005A5835">
        <w:t>designated as CAFOs under two circumstances: 1) where the AFO is a “significant contributor of pollutants to waters of the United States,”</w:t>
      </w:r>
      <w:r w:rsidR="005A5835">
        <w:rPr>
          <w:rStyle w:val="FootnoteReference"/>
        </w:rPr>
        <w:footnoteReference w:id="4"/>
      </w:r>
      <w:r w:rsidR="005A5835">
        <w:t xml:space="preserve"> or 2) where the AFO “stables or confines” a </w:t>
      </w:r>
      <w:r w:rsidR="0006457F">
        <w:t xml:space="preserve">certain </w:t>
      </w:r>
      <w:r w:rsidR="005A5835">
        <w:t>minimum number of animals.</w:t>
      </w:r>
      <w:r w:rsidR="005A5835">
        <w:rPr>
          <w:rStyle w:val="FootnoteReference"/>
        </w:rPr>
        <w:footnoteReference w:id="5"/>
      </w:r>
    </w:p>
    <w:p w14:paraId="2F7DB2F0" w14:textId="0E326C0F" w:rsidR="008051E7" w:rsidRDefault="001C4CD0" w:rsidP="00381E04">
      <w:pPr>
        <w:spacing w:line="480" w:lineRule="auto"/>
        <w:ind w:firstLine="720"/>
        <w:jc w:val="both"/>
      </w:pPr>
      <w:r>
        <w:t>Today</w:t>
      </w:r>
      <w:r w:rsidR="00D3067B">
        <w:t>, about 10</w:t>
      </w:r>
      <w:r w:rsidR="00C53C54">
        <w:t xml:space="preserve"> billion animals are raised and slaughtered in the United States every year.</w:t>
      </w:r>
      <w:r w:rsidR="00C53C54">
        <w:rPr>
          <w:rStyle w:val="FootnoteReference"/>
        </w:rPr>
        <w:footnoteReference w:id="6"/>
      </w:r>
      <w:r w:rsidR="00C53C54">
        <w:t xml:space="preserve"> </w:t>
      </w:r>
      <w:r w:rsidR="00951820">
        <w:t>More than 99%</w:t>
      </w:r>
      <w:r w:rsidR="00216313">
        <w:t xml:space="preserve"> of those animals are raised and slaughtered in CAFOs.</w:t>
      </w:r>
      <w:r w:rsidR="00216313">
        <w:rPr>
          <w:rStyle w:val="FootnoteReference"/>
        </w:rPr>
        <w:footnoteReference w:id="7"/>
      </w:r>
      <w:r w:rsidR="00216313">
        <w:t xml:space="preserve"> </w:t>
      </w:r>
      <w:r w:rsidR="00847910">
        <w:t>A</w:t>
      </w:r>
      <w:r>
        <w:t>merican meat consumption has nearly doubled over the last century,</w:t>
      </w:r>
      <w:r>
        <w:rPr>
          <w:rStyle w:val="FootnoteReference"/>
        </w:rPr>
        <w:footnoteReference w:id="8"/>
      </w:r>
      <w:r w:rsidR="00E60381">
        <w:t xml:space="preserve"> </w:t>
      </w:r>
      <w:r>
        <w:t>and</w:t>
      </w:r>
      <w:r w:rsidR="00125288">
        <w:t xml:space="preserve"> the USDA projects this</w:t>
      </w:r>
      <w:r w:rsidR="00E60381">
        <w:t xml:space="preserve"> </w:t>
      </w:r>
      <w:r w:rsidR="00125288">
        <w:t>consumption</w:t>
      </w:r>
      <w:r w:rsidR="00E60381">
        <w:t xml:space="preserve"> </w:t>
      </w:r>
      <w:r w:rsidR="00125288">
        <w:t xml:space="preserve">will </w:t>
      </w:r>
      <w:r w:rsidR="007927E4">
        <w:t xml:space="preserve">further </w:t>
      </w:r>
      <w:r w:rsidR="00125288">
        <w:t>swell over the next decade</w:t>
      </w:r>
      <w:r w:rsidR="00E60381">
        <w:t>.</w:t>
      </w:r>
      <w:r w:rsidR="00E60381">
        <w:rPr>
          <w:rStyle w:val="FootnoteReference"/>
        </w:rPr>
        <w:footnoteReference w:id="9"/>
      </w:r>
      <w:r w:rsidR="00125288">
        <w:t xml:space="preserve"> </w:t>
      </w:r>
      <w:r w:rsidR="00381E04">
        <w:t>With this</w:t>
      </w:r>
      <w:r w:rsidR="00EB7476">
        <w:t xml:space="preserve"> level of consumption, it comes as no surprise that animal products are cheap. Indeed, m</w:t>
      </w:r>
      <w:r w:rsidR="00EB7476" w:rsidRPr="00EB7476">
        <w:t>eat and dairy prices have been steadily dropping in the United States for over a century, in part due to the advent of CAFOs in the 1950s.</w:t>
      </w:r>
      <w:r w:rsidR="00EB7476" w:rsidRPr="00EB7476">
        <w:rPr>
          <w:vertAlign w:val="superscript"/>
        </w:rPr>
        <w:footnoteReference w:id="10"/>
      </w:r>
      <w:r w:rsidR="00EB7476" w:rsidRPr="00EB7476">
        <w:t xml:space="preserve"> </w:t>
      </w:r>
      <w:r w:rsidR="00381E04">
        <w:t>But</w:t>
      </w:r>
      <w:r w:rsidR="00AA3271">
        <w:t xml:space="preserve"> </w:t>
      </w:r>
      <w:r w:rsidR="00346C5C">
        <w:t>while</w:t>
      </w:r>
      <w:r w:rsidR="00F25DAD">
        <w:t xml:space="preserve"> </w:t>
      </w:r>
      <w:r w:rsidR="000842DA">
        <w:t xml:space="preserve">the price </w:t>
      </w:r>
      <w:r w:rsidR="008D390C">
        <w:t>Americans</w:t>
      </w:r>
      <w:r w:rsidR="000842DA">
        <w:t xml:space="preserve"> pay for animal products at the grocery store </w:t>
      </w:r>
      <w:r w:rsidR="00EE1BFA">
        <w:t>checkout counter may seem</w:t>
      </w:r>
      <w:r w:rsidR="00847910">
        <w:t xml:space="preserve"> low in dollars</w:t>
      </w:r>
      <w:r w:rsidR="00E224E4">
        <w:t xml:space="preserve">, the </w:t>
      </w:r>
      <w:r w:rsidR="008D390C">
        <w:t>true</w:t>
      </w:r>
      <w:r w:rsidR="000842DA">
        <w:t xml:space="preserve"> price is staggeringly high. </w:t>
      </w:r>
    </w:p>
    <w:p w14:paraId="7404CC6F" w14:textId="6CE1702A" w:rsidR="003B291C" w:rsidRPr="0068510F" w:rsidRDefault="00125288" w:rsidP="0068510F">
      <w:pPr>
        <w:spacing w:line="480" w:lineRule="auto"/>
        <w:ind w:firstLine="720"/>
        <w:jc w:val="both"/>
      </w:pPr>
      <w:r>
        <w:t>C</w:t>
      </w:r>
      <w:r w:rsidR="00F25DAD">
        <w:t>AFOs are deleterious to human and nonhuman animals alike.</w:t>
      </w:r>
      <w:r w:rsidR="009D491C">
        <w:t xml:space="preserve"> </w:t>
      </w:r>
      <w:r w:rsidR="00A10958">
        <w:t>In addition to c</w:t>
      </w:r>
      <w:r w:rsidR="003E3E90">
        <w:t>ausing</w:t>
      </w:r>
      <w:r w:rsidR="00A10958">
        <w:t xml:space="preserve"> unquantifiable animal suffering</w:t>
      </w:r>
      <w:r w:rsidR="003E3E90">
        <w:t>,</w:t>
      </w:r>
      <w:r w:rsidR="003E3E90">
        <w:rPr>
          <w:rStyle w:val="FootnoteReference"/>
        </w:rPr>
        <w:footnoteReference w:id="11"/>
      </w:r>
      <w:r w:rsidR="008051E7">
        <w:t xml:space="preserve"> CAFOs </w:t>
      </w:r>
      <w:r w:rsidR="003E3E90">
        <w:t>put independent family farmers out of business</w:t>
      </w:r>
      <w:r w:rsidR="003E3E90">
        <w:rPr>
          <w:rStyle w:val="FootnoteReference"/>
        </w:rPr>
        <w:footnoteReference w:id="12"/>
      </w:r>
      <w:r w:rsidR="003E3E90">
        <w:t xml:space="preserve"> and create</w:t>
      </w:r>
      <w:r w:rsidR="00A10958">
        <w:t xml:space="preserve"> deplorable working conditions</w:t>
      </w:r>
      <w:r w:rsidR="003E3E90">
        <w:t xml:space="preserve"> for employees.</w:t>
      </w:r>
      <w:r w:rsidR="003E3E90">
        <w:rPr>
          <w:rStyle w:val="FootnoteReference"/>
        </w:rPr>
        <w:footnoteReference w:id="13"/>
      </w:r>
      <w:r w:rsidR="00A10958">
        <w:t xml:space="preserve"> </w:t>
      </w:r>
      <w:r>
        <w:t>CAFOs</w:t>
      </w:r>
      <w:r w:rsidR="00A10958">
        <w:t xml:space="preserve"> </w:t>
      </w:r>
      <w:r w:rsidR="008051E7">
        <w:t>also</w:t>
      </w:r>
      <w:r w:rsidR="00237136">
        <w:t xml:space="preserve"> create massive externalities in the form of environmental destruction while they </w:t>
      </w:r>
      <w:r w:rsidR="00A10958">
        <w:t xml:space="preserve">ravage </w:t>
      </w:r>
      <w:r w:rsidR="00A2013B">
        <w:t xml:space="preserve">their vulnerable </w:t>
      </w:r>
      <w:r w:rsidR="00D92EB9">
        <w:t>host</w:t>
      </w:r>
      <w:r w:rsidR="00F45E3D">
        <w:t xml:space="preserve"> communities</w:t>
      </w:r>
      <w:r w:rsidR="00A2013B">
        <w:t xml:space="preserve"> and trample civil rights</w:t>
      </w:r>
      <w:r>
        <w:t xml:space="preserve">. Section II </w:t>
      </w:r>
      <w:r w:rsidR="00A2013B">
        <w:t>examines</w:t>
      </w:r>
      <w:r w:rsidR="00F45E3D">
        <w:t xml:space="preserve"> some</w:t>
      </w:r>
      <w:r w:rsidR="00DE3B93">
        <w:t xml:space="preserve"> of these communities, located o</w:t>
      </w:r>
      <w:r w:rsidR="00F45E3D">
        <w:t xml:space="preserve">n </w:t>
      </w:r>
      <w:r w:rsidR="00DE3B93">
        <w:t xml:space="preserve">the </w:t>
      </w:r>
      <w:r w:rsidR="00F45E3D">
        <w:t>North Carolina</w:t>
      </w:r>
      <w:r w:rsidR="00DE3B93">
        <w:t xml:space="preserve"> Coastal Plain</w:t>
      </w:r>
      <w:r w:rsidR="00F45E3D">
        <w:t xml:space="preserve">, </w:t>
      </w:r>
      <w:r w:rsidR="00A2013B">
        <w:t xml:space="preserve">which are </w:t>
      </w:r>
      <w:r w:rsidR="00DE3B93">
        <w:t xml:space="preserve">home to many African American, Latino, </w:t>
      </w:r>
      <w:r w:rsidR="00F45E3D">
        <w:t>Native American</w:t>
      </w:r>
      <w:r w:rsidR="00DE3B93">
        <w:t>, and economically disadvantaged</w:t>
      </w:r>
      <w:r w:rsidR="00F45E3D">
        <w:t xml:space="preserve"> people. This section also describes the significant environmental damage that CAFOs deal to these vulnerable communities, which in turn causes plummeting property values and </w:t>
      </w:r>
      <w:r w:rsidR="00B70BA1">
        <w:t>endangers health</w:t>
      </w:r>
      <w:r>
        <w:t xml:space="preserve">. </w:t>
      </w:r>
      <w:r w:rsidR="00F45E3D">
        <w:t xml:space="preserve">Section III explores </w:t>
      </w:r>
      <w:r w:rsidR="00A2013B">
        <w:t>relevant law and how it fails to protect</w:t>
      </w:r>
      <w:r w:rsidR="00F45E3D">
        <w:t xml:space="preserve"> these vulnerable communities. </w:t>
      </w:r>
      <w:r w:rsidR="00A2013B">
        <w:t xml:space="preserve">This is the enforcement gap. </w:t>
      </w:r>
      <w:r w:rsidR="00F45E3D">
        <w:t xml:space="preserve">Section IV explains how </w:t>
      </w:r>
      <w:r w:rsidR="00662DCF">
        <w:t xml:space="preserve">the </w:t>
      </w:r>
      <w:r w:rsidR="00662DCF">
        <w:rPr>
          <w:i/>
        </w:rPr>
        <w:t xml:space="preserve">idea </w:t>
      </w:r>
      <w:r w:rsidR="008211EF">
        <w:t xml:space="preserve">of farming is America’s </w:t>
      </w:r>
      <w:r w:rsidR="00662DCF">
        <w:t>sacred cow</w:t>
      </w:r>
      <w:r w:rsidR="00DC3CC3">
        <w:t xml:space="preserve">, </w:t>
      </w:r>
      <w:r w:rsidR="00662DCF">
        <w:t xml:space="preserve">spurred by rosy visions of wholesome white </w:t>
      </w:r>
      <w:r w:rsidR="00DC3CC3">
        <w:t>farmers and their families</w:t>
      </w:r>
      <w:r w:rsidR="00662DCF">
        <w:t xml:space="preserve"> living out the rugged individualism that our country has </w:t>
      </w:r>
      <w:r w:rsidR="00DC3CC3">
        <w:t>worshipped</w:t>
      </w:r>
      <w:r w:rsidR="00662DCF">
        <w:t xml:space="preserve"> for centuries. </w:t>
      </w:r>
      <w:r w:rsidR="00EA2A26" w:rsidRPr="00B67C33">
        <w:t>Big Agribusiness</w:t>
      </w:r>
      <w:r w:rsidR="00EA2A26">
        <w:t xml:space="preserve"> (“Big Ag”)</w:t>
      </w:r>
      <w:r w:rsidR="00662DCF">
        <w:t xml:space="preserve"> eagerly and effectively exploit</w:t>
      </w:r>
      <w:r w:rsidR="00EA2A26">
        <w:t>s</w:t>
      </w:r>
      <w:r w:rsidR="00662DCF">
        <w:t xml:space="preserve"> this idea, raking in immense profit (including subsidies from </w:t>
      </w:r>
      <w:r w:rsidR="00AD5A15">
        <w:t xml:space="preserve">misinformed </w:t>
      </w:r>
      <w:r w:rsidR="00662DCF">
        <w:t xml:space="preserve">tax payers) and power. With this </w:t>
      </w:r>
      <w:r w:rsidR="00EA2A26">
        <w:t>power, Big Ag</w:t>
      </w:r>
      <w:r w:rsidR="00662DCF">
        <w:t xml:space="preserve"> purchase</w:t>
      </w:r>
      <w:r w:rsidR="00EA2A26">
        <w:t>s</w:t>
      </w:r>
      <w:r w:rsidR="00662DCF">
        <w:t xml:space="preserve"> politicia</w:t>
      </w:r>
      <w:r w:rsidR="008211EF">
        <w:t xml:space="preserve">ns. Those politicians </w:t>
      </w:r>
      <w:r w:rsidR="00CB3A92">
        <w:t xml:space="preserve">twist the law into an instrument of oppression by carving out </w:t>
      </w:r>
      <w:r w:rsidR="00A2013B">
        <w:t>the enforcement gap</w:t>
      </w:r>
      <w:r w:rsidR="00CB3A92">
        <w:t xml:space="preserve">. </w:t>
      </w:r>
      <w:r w:rsidR="00662DCF">
        <w:t>The enforcement gap</w:t>
      </w:r>
      <w:r w:rsidR="00C4477C">
        <w:t xml:space="preserve"> </w:t>
      </w:r>
      <w:r w:rsidR="00662DCF">
        <w:t>invites</w:t>
      </w:r>
      <w:r w:rsidR="00F45E3D">
        <w:t xml:space="preserve"> CAFOs to exploit </w:t>
      </w:r>
      <w:r w:rsidR="00DE3B93">
        <w:t>vulnerable</w:t>
      </w:r>
      <w:r w:rsidR="007217AD">
        <w:t xml:space="preserve"> communities. Section V reckons that North Carolina presents a potential blueprint for the way forward. Though federal environmental and civil rights laws face </w:t>
      </w:r>
      <w:r w:rsidR="00AC5298">
        <w:t xml:space="preserve">further weakening (and perhaps even extinction) under the Trump administration and </w:t>
      </w:r>
      <w:r w:rsidR="00B02233">
        <w:t xml:space="preserve">a </w:t>
      </w:r>
      <w:r w:rsidR="00AC5298">
        <w:t>Repu</w:t>
      </w:r>
      <w:r w:rsidR="00DE3B93">
        <w:t>blican-controlled Congress, these vulnerable communities in</w:t>
      </w:r>
      <w:r w:rsidR="00AC5298">
        <w:t xml:space="preserve"> North Carolina</w:t>
      </w:r>
      <w:r w:rsidR="00DE3B93">
        <w:t xml:space="preserve"> can</w:t>
      </w:r>
      <w:r w:rsidR="00AC5298">
        <w:t xml:space="preserve"> </w:t>
      </w:r>
      <w:r w:rsidR="00DE3B93">
        <w:t>fight</w:t>
      </w:r>
      <w:r w:rsidR="00A770DC">
        <w:t xml:space="preserve"> CAFOs at the state level.</w:t>
      </w:r>
      <w:r w:rsidR="00B70BA1">
        <w:t xml:space="preserve"> </w:t>
      </w:r>
      <w:bookmarkStart w:id="0" w:name="_GoBack"/>
      <w:bookmarkEnd w:id="0"/>
    </w:p>
    <w:p w14:paraId="6F6E1C42" w14:textId="1E683C44" w:rsidR="006873ED" w:rsidRDefault="006873ED" w:rsidP="003B4E36">
      <w:pPr>
        <w:ind w:left="720" w:hanging="720"/>
        <w:jc w:val="both"/>
        <w:rPr>
          <w:b/>
          <w:sz w:val="26"/>
          <w:szCs w:val="26"/>
        </w:rPr>
      </w:pPr>
      <w:r w:rsidRPr="001656CB">
        <w:rPr>
          <w:b/>
          <w:sz w:val="26"/>
          <w:szCs w:val="26"/>
        </w:rPr>
        <w:t>II.</w:t>
      </w:r>
      <w:r w:rsidRPr="001656CB">
        <w:rPr>
          <w:b/>
          <w:sz w:val="26"/>
          <w:szCs w:val="26"/>
        </w:rPr>
        <w:tab/>
        <w:t xml:space="preserve">North Carolina: </w:t>
      </w:r>
      <w:r w:rsidR="003B4E36">
        <w:rPr>
          <w:b/>
          <w:sz w:val="26"/>
          <w:szCs w:val="26"/>
        </w:rPr>
        <w:t xml:space="preserve">A Case Study In </w:t>
      </w:r>
      <w:r w:rsidRPr="001656CB">
        <w:rPr>
          <w:b/>
          <w:sz w:val="26"/>
          <w:szCs w:val="26"/>
        </w:rPr>
        <w:t xml:space="preserve">How CAFOs </w:t>
      </w:r>
      <w:r w:rsidR="00570A43">
        <w:rPr>
          <w:b/>
          <w:sz w:val="26"/>
          <w:szCs w:val="26"/>
        </w:rPr>
        <w:t>Plague</w:t>
      </w:r>
      <w:r w:rsidRPr="001656CB">
        <w:rPr>
          <w:b/>
          <w:sz w:val="26"/>
          <w:szCs w:val="26"/>
        </w:rPr>
        <w:t xml:space="preserve"> Vulnerable</w:t>
      </w:r>
      <w:r w:rsidR="003B4E36">
        <w:rPr>
          <w:b/>
          <w:sz w:val="26"/>
          <w:szCs w:val="26"/>
        </w:rPr>
        <w:t xml:space="preserve"> </w:t>
      </w:r>
      <w:r w:rsidRPr="001656CB">
        <w:rPr>
          <w:b/>
          <w:sz w:val="26"/>
          <w:szCs w:val="26"/>
        </w:rPr>
        <w:t xml:space="preserve">Communities </w:t>
      </w:r>
      <w:r w:rsidR="00D87518">
        <w:rPr>
          <w:b/>
          <w:sz w:val="26"/>
          <w:szCs w:val="26"/>
        </w:rPr>
        <w:t>of Color</w:t>
      </w:r>
    </w:p>
    <w:p w14:paraId="42FEEFEB" w14:textId="77777777" w:rsidR="003B4E36" w:rsidRPr="00E02310" w:rsidRDefault="003B4E36" w:rsidP="003B4E36">
      <w:pPr>
        <w:ind w:left="720" w:hanging="720"/>
        <w:rPr>
          <w:b/>
        </w:rPr>
      </w:pPr>
    </w:p>
    <w:p w14:paraId="2DE28028" w14:textId="2EBDACB5" w:rsidR="007B4072" w:rsidRDefault="00794035" w:rsidP="00814EA2">
      <w:pPr>
        <w:spacing w:line="480" w:lineRule="auto"/>
        <w:jc w:val="both"/>
      </w:pPr>
      <w:r>
        <w:tab/>
      </w:r>
      <w:r w:rsidR="003A2483">
        <w:t xml:space="preserve">The “Black Belt,” </w:t>
      </w:r>
      <w:r w:rsidR="00F72FAA">
        <w:t xml:space="preserve">a “crescent-shaped band throughout the South where slaves worked on plantations,” runs </w:t>
      </w:r>
      <w:r w:rsidR="00C92D1B">
        <w:t xml:space="preserve">squarely </w:t>
      </w:r>
      <w:r w:rsidR="00F72FAA">
        <w:t>through eastern North Carolina.</w:t>
      </w:r>
      <w:r w:rsidR="00F72FAA">
        <w:rPr>
          <w:rStyle w:val="FootnoteReference"/>
        </w:rPr>
        <w:footnoteReference w:id="14"/>
      </w:r>
      <w:r w:rsidR="00F72FAA">
        <w:t xml:space="preserve"> </w:t>
      </w:r>
      <w:r w:rsidR="007274FB">
        <w:t>“Historically, the Black Belt has been defined as places with a black population majority at the time of the Civil War. Those areas stretched from Virginia to Texas and, for practical purposes, covered the old plantation region of the South.</w:t>
      </w:r>
      <w:r w:rsidR="00526549">
        <w:t>”</w:t>
      </w:r>
      <w:r w:rsidR="007274FB">
        <w:rPr>
          <w:rStyle w:val="FootnoteReference"/>
        </w:rPr>
        <w:footnoteReference w:id="15"/>
      </w:r>
      <w:r w:rsidR="007274FB">
        <w:t xml:space="preserve"> </w:t>
      </w:r>
      <w:r w:rsidR="00DB6F06">
        <w:t xml:space="preserve">After </w:t>
      </w:r>
      <w:r w:rsidR="005919DF">
        <w:t xml:space="preserve">the Civil War and </w:t>
      </w:r>
      <w:r w:rsidR="00DB6F06">
        <w:t>emancipation, many African American</w:t>
      </w:r>
      <w:r w:rsidR="003431E3">
        <w:t>s</w:t>
      </w:r>
      <w:r w:rsidR="00DB6F06">
        <w:t xml:space="preserve"> remained in </w:t>
      </w:r>
      <w:r w:rsidR="003431E3">
        <w:t>the Black Belt and worked as sharecroppers and tenant farmers.</w:t>
      </w:r>
      <w:r w:rsidR="003431E3">
        <w:rPr>
          <w:rStyle w:val="FootnoteReference"/>
        </w:rPr>
        <w:footnoteReference w:id="16"/>
      </w:r>
      <w:r w:rsidR="007274FB">
        <w:t xml:space="preserve"> </w:t>
      </w:r>
      <w:r w:rsidR="00526549">
        <w:t xml:space="preserve">But African American farmers in the Black Belt were systematically deprived of acquiring their own farmland, largely due to discrimination in land sales and lending.  </w:t>
      </w:r>
    </w:p>
    <w:p w14:paraId="07F17A8E" w14:textId="4172314C" w:rsidR="00C553AE" w:rsidRDefault="003B753E" w:rsidP="00C553AE">
      <w:pPr>
        <w:ind w:left="1440" w:right="1440"/>
        <w:jc w:val="both"/>
      </w:pPr>
      <w:r>
        <w:t>B</w:t>
      </w:r>
      <w:r w:rsidR="007B4072">
        <w:t xml:space="preserve">y the turn of the century, many of the black farm operators in the South managed to acquire farmland. Thereafter, however, black farm ownership and control of land, and other resources such as capital, have been severely limited due to systematic discrimination in land sales and farm credit, reported in both historical and contemporary sources. This was particularly the case in the lack of access to credit (which is most important to increase production, ownership of resources, and </w:t>
      </w:r>
      <w:r w:rsidR="00C553AE">
        <w:t>thus farm incomes) from the [Farmers Home Administration (</w:t>
      </w:r>
      <w:proofErr w:type="spellStart"/>
      <w:r w:rsidR="00C553AE">
        <w:t>FmHA</w:t>
      </w:r>
      <w:proofErr w:type="spellEnd"/>
      <w:r w:rsidR="00C553AE">
        <w:t>)]</w:t>
      </w:r>
      <w:r w:rsidR="007B4072">
        <w:t xml:space="preserve"> which was established in the 1930s to service the credit needs</w:t>
      </w:r>
      <w:r w:rsidR="00C553AE">
        <w:t xml:space="preserve"> of farmers who failed to meet</w:t>
      </w:r>
      <w:r w:rsidR="007B4072">
        <w:t xml:space="preserve"> the lending criteria of other lending institutions.</w:t>
      </w:r>
      <w:r w:rsidR="00C553AE">
        <w:rPr>
          <w:rStyle w:val="FootnoteReference"/>
        </w:rPr>
        <w:footnoteReference w:id="17"/>
      </w:r>
      <w:r w:rsidR="007B4072">
        <w:t xml:space="preserve"> </w:t>
      </w:r>
    </w:p>
    <w:p w14:paraId="0DACF575" w14:textId="77777777" w:rsidR="00C553AE" w:rsidRDefault="00C553AE" w:rsidP="00C553AE">
      <w:pPr>
        <w:ind w:left="1440" w:right="1440"/>
        <w:jc w:val="both"/>
      </w:pPr>
    </w:p>
    <w:p w14:paraId="651BBA01" w14:textId="5A9ABAC2" w:rsidR="00971850" w:rsidRDefault="003431E3" w:rsidP="00E3795F">
      <w:pPr>
        <w:spacing w:line="480" w:lineRule="auto"/>
        <w:jc w:val="both"/>
      </w:pPr>
      <w:r>
        <w:t>Today, the communities</w:t>
      </w:r>
      <w:r w:rsidR="00CD26ED">
        <w:t xml:space="preserve"> in the Black Belt </w:t>
      </w:r>
      <w:r>
        <w:t>suffer from economic oppression in the form of high unemployment and povert</w:t>
      </w:r>
      <w:r w:rsidR="00E3795F">
        <w:t xml:space="preserve">y, low levels of education, low quality healthcare, and </w:t>
      </w:r>
      <w:r>
        <w:t>substandard housing.</w:t>
      </w:r>
      <w:r>
        <w:rPr>
          <w:rStyle w:val="FootnoteReference"/>
        </w:rPr>
        <w:footnoteReference w:id="18"/>
      </w:r>
      <w:r w:rsidR="003B753E">
        <w:t xml:space="preserve"> </w:t>
      </w:r>
    </w:p>
    <w:p w14:paraId="0C0D383F" w14:textId="3A54378B" w:rsidR="0007245F" w:rsidRDefault="0077458C" w:rsidP="00E04F61">
      <w:pPr>
        <w:spacing w:line="480" w:lineRule="auto"/>
        <w:ind w:firstLine="720"/>
        <w:jc w:val="both"/>
      </w:pPr>
      <w:r>
        <w:t>CAFOs</w:t>
      </w:r>
      <w:r w:rsidR="00776515">
        <w:t xml:space="preserve"> </w:t>
      </w:r>
      <w:r w:rsidR="00B3689A">
        <w:t xml:space="preserve">descended on these </w:t>
      </w:r>
      <w:r w:rsidR="00DA1EEA">
        <w:t xml:space="preserve">vulnerable </w:t>
      </w:r>
      <w:r w:rsidR="00B3689A">
        <w:t>communities like a plague</w:t>
      </w:r>
      <w:r w:rsidR="00FB1943">
        <w:t>, beginning in the mid-1980s</w:t>
      </w:r>
      <w:r w:rsidR="00B3689A">
        <w:t>.</w:t>
      </w:r>
      <w:r w:rsidR="00FB1943">
        <w:rPr>
          <w:rStyle w:val="FootnoteReference"/>
        </w:rPr>
        <w:footnoteReference w:id="19"/>
      </w:r>
      <w:r w:rsidR="00B3689A">
        <w:t xml:space="preserve"> </w:t>
      </w:r>
      <w:r w:rsidR="001377FE">
        <w:t>Because c</w:t>
      </w:r>
      <w:r w:rsidR="00CC4C52">
        <w:t>ommunities of color and low-income communities tend to lack the political power of white, affluent communities</w:t>
      </w:r>
      <w:r w:rsidR="001377FE">
        <w:t>, they are</w:t>
      </w:r>
      <w:r w:rsidR="00266B3A">
        <w:t xml:space="preserve"> less likely</w:t>
      </w:r>
      <w:r w:rsidR="00CC4C52">
        <w:t xml:space="preserve"> to</w:t>
      </w:r>
      <w:r w:rsidR="00266B3A">
        <w:t xml:space="preserve"> successfully</w:t>
      </w:r>
      <w:r w:rsidR="00CC4C52">
        <w:t xml:space="preserve"> ward off </w:t>
      </w:r>
      <w:r w:rsidR="001377FE">
        <w:t xml:space="preserve">siting threats for </w:t>
      </w:r>
      <w:r w:rsidR="00CC4C52">
        <w:t>undesirab</w:t>
      </w:r>
      <w:r w:rsidR="001377FE">
        <w:t>le facilities such as CAFOs and are dispropor</w:t>
      </w:r>
      <w:r w:rsidR="00266B3A">
        <w:t>tionately burdened with such facilities</w:t>
      </w:r>
      <w:r w:rsidR="007C7536" w:rsidRPr="00C4477C">
        <w:t>—</w:t>
      </w:r>
      <w:r w:rsidR="007C7536">
        <w:t>indeed, the proportion of African American, Hispanic, and Native American people living within three miles of a North Carolina pig CAFO are 1.54, 1.39, and 2.18 times higher, respectively.</w:t>
      </w:r>
      <w:r w:rsidR="00D21F74">
        <w:rPr>
          <w:rStyle w:val="FootnoteReference"/>
        </w:rPr>
        <w:footnoteReference w:id="20"/>
      </w:r>
      <w:r w:rsidR="00CC4C52">
        <w:t xml:space="preserve"> “[</w:t>
      </w:r>
      <w:proofErr w:type="gramStart"/>
      <w:r w:rsidR="00CC4C52">
        <w:t>P]</w:t>
      </w:r>
      <w:proofErr w:type="spellStart"/>
      <w:r w:rsidR="00CC4C52">
        <w:t>eople</w:t>
      </w:r>
      <w:proofErr w:type="spellEnd"/>
      <w:proofErr w:type="gramEnd"/>
      <w:r w:rsidR="00CC4C52">
        <w:t xml:space="preserve"> of color and the poor living in rural communities lacking the political capacity to resist are said to shoulder the adverse socio-economic, environmental, or health related effects of swine waste externality without sharing in the economic benefits brought by industrialized pork production.”</w:t>
      </w:r>
      <w:r w:rsidR="00CC4C52">
        <w:rPr>
          <w:rStyle w:val="FootnoteReference"/>
        </w:rPr>
        <w:footnoteReference w:id="21"/>
      </w:r>
      <w:r w:rsidR="00CC4C52">
        <w:t xml:space="preserve"> </w:t>
      </w:r>
      <w:r w:rsidR="002F53BA">
        <w:t>Communities of color and low-</w:t>
      </w:r>
      <w:r w:rsidR="001377FE">
        <w:t xml:space="preserve">income communities also lack the resources to leave compromised areas, where </w:t>
      </w:r>
      <w:proofErr w:type="gramStart"/>
      <w:r w:rsidR="001377FE">
        <w:t>they are trapped by decreasing property values and plummeting quality of life</w:t>
      </w:r>
      <w:proofErr w:type="gramEnd"/>
      <w:r w:rsidR="001377FE">
        <w:t>.</w:t>
      </w:r>
      <w:r w:rsidR="001377FE">
        <w:rPr>
          <w:rStyle w:val="FootnoteReference"/>
        </w:rPr>
        <w:footnoteReference w:id="22"/>
      </w:r>
    </w:p>
    <w:p w14:paraId="537D650C" w14:textId="693ED593" w:rsidR="00AE62A0" w:rsidRDefault="00DA1EEA" w:rsidP="00E04F61">
      <w:pPr>
        <w:spacing w:line="480" w:lineRule="auto"/>
        <w:ind w:firstLine="720"/>
        <w:jc w:val="both"/>
      </w:pPr>
      <w:r>
        <w:t>There</w:t>
      </w:r>
      <w:r w:rsidR="00DC3F1A">
        <w:t xml:space="preserve"> are </w:t>
      </w:r>
      <w:r w:rsidR="007F0F67">
        <w:t xml:space="preserve">9.5 </w:t>
      </w:r>
      <w:r w:rsidR="002C33B3">
        <w:t>mi</w:t>
      </w:r>
      <w:r w:rsidR="00B1415C">
        <w:t>llion pigs</w:t>
      </w:r>
      <w:r w:rsidR="006B498D">
        <w:t xml:space="preserve"> in North Carolina</w:t>
      </w:r>
      <w:r w:rsidRPr="00C4477C">
        <w:t>—</w:t>
      </w:r>
      <w:r w:rsidR="00B1415C">
        <w:t xml:space="preserve">the other </w:t>
      </w:r>
      <w:r>
        <w:t>victims of the</w:t>
      </w:r>
      <w:r w:rsidR="006B498D">
        <w:t xml:space="preserve"> state’s</w:t>
      </w:r>
      <w:r w:rsidR="00787D53">
        <w:t xml:space="preserve"> </w:t>
      </w:r>
      <w:r w:rsidR="00725EBC">
        <w:t>$3 billion</w:t>
      </w:r>
      <w:r>
        <w:t xml:space="preserve"> pig</w:t>
      </w:r>
      <w:r w:rsidR="00787D53">
        <w:t xml:space="preserve"> industry</w:t>
      </w:r>
      <w:r w:rsidR="00725EBC">
        <w:t>.</w:t>
      </w:r>
      <w:r w:rsidR="00725EBC">
        <w:rPr>
          <w:rStyle w:val="FootnoteReference"/>
        </w:rPr>
        <w:footnoteReference w:id="23"/>
      </w:r>
      <w:r w:rsidR="00725EBC">
        <w:t xml:space="preserve"> </w:t>
      </w:r>
      <w:r w:rsidR="00366233">
        <w:t>T</w:t>
      </w:r>
      <w:r w:rsidR="00010847">
        <w:t xml:space="preserve">he pigs are </w:t>
      </w:r>
      <w:r w:rsidR="00C53F30">
        <w:t>spread across</w:t>
      </w:r>
      <w:r w:rsidR="00FE403D">
        <w:t xml:space="preserve"> </w:t>
      </w:r>
      <w:r w:rsidR="00010847">
        <w:t xml:space="preserve">approximately 2,100 </w:t>
      </w:r>
      <w:r w:rsidR="00C53F30">
        <w:t xml:space="preserve">different </w:t>
      </w:r>
      <w:r w:rsidR="00010847">
        <w:t>operations</w:t>
      </w:r>
      <w:r w:rsidR="00010847">
        <w:rPr>
          <w:rStyle w:val="FootnoteReference"/>
        </w:rPr>
        <w:footnoteReference w:id="24"/>
      </w:r>
      <w:r w:rsidR="00DA078C">
        <w:t xml:space="preserve"> and they </w:t>
      </w:r>
      <w:r w:rsidR="00010847">
        <w:t>produce a total of</w:t>
      </w:r>
      <w:r w:rsidR="00205F3B">
        <w:t xml:space="preserve"> 10 billion gallons of waste each year</w:t>
      </w:r>
      <w:r w:rsidR="00DA078C">
        <w:t xml:space="preserve">, which is </w:t>
      </w:r>
      <w:r w:rsidR="00205F3B">
        <w:t>“enough to fill more than 15,000 Olympic-size swimming pools.”</w:t>
      </w:r>
      <w:r w:rsidR="00205F3B">
        <w:rPr>
          <w:rStyle w:val="FootnoteReference"/>
        </w:rPr>
        <w:footnoteReference w:id="25"/>
      </w:r>
      <w:r w:rsidR="00041189">
        <w:t xml:space="preserve"> The </w:t>
      </w:r>
      <w:r w:rsidR="002B1F09">
        <w:t>p</w:t>
      </w:r>
      <w:r w:rsidR="0074777C">
        <w:t>igs are con</w:t>
      </w:r>
      <w:r w:rsidR="002B1F09">
        <w:t>fined to large indoor facilities</w:t>
      </w:r>
      <w:r w:rsidR="002D2591">
        <w:t xml:space="preserve"> with slatted floors,</w:t>
      </w:r>
      <w:r w:rsidR="00DA078C" w:rsidRPr="00DA078C">
        <w:rPr>
          <w:rStyle w:val="FootnoteReference"/>
        </w:rPr>
        <w:t xml:space="preserve"> </w:t>
      </w:r>
      <w:r w:rsidR="00DA078C">
        <w:rPr>
          <w:rStyle w:val="FootnoteReference"/>
        </w:rPr>
        <w:footnoteReference w:id="26"/>
      </w:r>
      <w:r w:rsidR="00BB3D0A">
        <w:t xml:space="preserve"> </w:t>
      </w:r>
      <w:r w:rsidR="008A7169">
        <w:t xml:space="preserve">and </w:t>
      </w:r>
      <w:r w:rsidR="0074777C">
        <w:t xml:space="preserve">their waste is </w:t>
      </w:r>
      <w:r w:rsidR="00B463DF">
        <w:t>pumped</w:t>
      </w:r>
      <w:r w:rsidR="002B1F09">
        <w:t xml:space="preserve"> outdoors to</w:t>
      </w:r>
      <w:r w:rsidR="00DA078C">
        <w:t xml:space="preserve"> what the pig industry calls a “lagoon.” Lagoons are</w:t>
      </w:r>
      <w:r w:rsidR="00E04F61">
        <w:t xml:space="preserve"> </w:t>
      </w:r>
      <w:r w:rsidR="00DA078C">
        <w:t>vast</w:t>
      </w:r>
      <w:r w:rsidR="00E04F61">
        <w:t xml:space="preserve"> open-air cesspool</w:t>
      </w:r>
      <w:r w:rsidR="00DA078C">
        <w:t>s</w:t>
      </w:r>
      <w:r w:rsidR="00776515">
        <w:t xml:space="preserve"> filled with</w:t>
      </w:r>
      <w:r w:rsidR="00FD3BEB">
        <w:t xml:space="preserve"> untreated</w:t>
      </w:r>
      <w:r w:rsidR="00776515">
        <w:t xml:space="preserve"> </w:t>
      </w:r>
      <w:r w:rsidR="00041189">
        <w:t xml:space="preserve">manure, urine, </w:t>
      </w:r>
      <w:r w:rsidR="008A7169">
        <w:t xml:space="preserve">and </w:t>
      </w:r>
      <w:r w:rsidR="00041189">
        <w:t>af</w:t>
      </w:r>
      <w:r w:rsidR="008A7169">
        <w:t>terbirth</w:t>
      </w:r>
      <w:r w:rsidR="00DA078C">
        <w:t>.</w:t>
      </w:r>
      <w:r w:rsidR="008A7169">
        <w:rPr>
          <w:rStyle w:val="FootnoteReference"/>
        </w:rPr>
        <w:footnoteReference w:id="27"/>
      </w:r>
      <w:r w:rsidR="00DA078C">
        <w:t xml:space="preserve"> Some lagoons are as large as seven-and-a-half acres and hold 20 to 45 million gallons of waste.</w:t>
      </w:r>
      <w:r w:rsidR="00DA078C">
        <w:rPr>
          <w:rStyle w:val="FootnoteReference"/>
        </w:rPr>
        <w:footnoteReference w:id="28"/>
      </w:r>
      <w:r w:rsidR="00DA078C">
        <w:t xml:space="preserve"> T</w:t>
      </w:r>
      <w:r w:rsidR="001C1AAE">
        <w:t xml:space="preserve">here are </w:t>
      </w:r>
      <w:r w:rsidR="00E358FA">
        <w:t>more than 4,000 of them in North Carolina.</w:t>
      </w:r>
      <w:r w:rsidR="00E358FA">
        <w:rPr>
          <w:rStyle w:val="FootnoteReference"/>
        </w:rPr>
        <w:footnoteReference w:id="29"/>
      </w:r>
      <w:r w:rsidR="00E358FA">
        <w:t xml:space="preserve"> </w:t>
      </w:r>
      <w:r w:rsidR="00B463DF">
        <w:t>These lagoons “have broken, failed, or overflowed, leading to major fish kills and other pollution incidents.”</w:t>
      </w:r>
      <w:r w:rsidR="00B463DF">
        <w:rPr>
          <w:rStyle w:val="FootnoteReference"/>
        </w:rPr>
        <w:footnoteReference w:id="30"/>
      </w:r>
      <w:r w:rsidR="00B463DF">
        <w:t xml:space="preserve"> </w:t>
      </w:r>
      <w:r w:rsidR="00E04F61">
        <w:t xml:space="preserve">When the lagoons become full, </w:t>
      </w:r>
      <w:r w:rsidR="00EF040D">
        <w:t>CAFO operators mana</w:t>
      </w:r>
      <w:r w:rsidR="00E04F61">
        <w:t>ge</w:t>
      </w:r>
      <w:r w:rsidR="00BE794A">
        <w:t xml:space="preserve"> volume by spraying this</w:t>
      </w:r>
      <w:r w:rsidR="00EF040D">
        <w:t xml:space="preserve"> waste</w:t>
      </w:r>
      <w:r w:rsidR="00F203C5">
        <w:t xml:space="preserve"> through sprinkler systems</w:t>
      </w:r>
      <w:r w:rsidR="00EF040D">
        <w:t xml:space="preserve"> onto </w:t>
      </w:r>
      <w:r w:rsidR="00B463DF">
        <w:t>“</w:t>
      </w:r>
      <w:proofErr w:type="spellStart"/>
      <w:r w:rsidR="00B463DF">
        <w:t>spray</w:t>
      </w:r>
      <w:r w:rsidR="00EF040D">
        <w:t>fields</w:t>
      </w:r>
      <w:proofErr w:type="spellEnd"/>
      <w:r w:rsidR="00B463DF">
        <w:t>”</w:t>
      </w:r>
      <w:r w:rsidR="00BE794A">
        <w:t xml:space="preserve"> in large quantities</w:t>
      </w:r>
      <w:r w:rsidR="00EF040D">
        <w:t>.</w:t>
      </w:r>
      <w:r w:rsidR="00EF040D">
        <w:rPr>
          <w:rStyle w:val="FootnoteReference"/>
        </w:rPr>
        <w:footnoteReference w:id="31"/>
      </w:r>
      <w:r w:rsidR="00FE403D">
        <w:t xml:space="preserve"> “Operators have sprayed waste in windy and wet weather, on frozen ground, or on lan</w:t>
      </w:r>
      <w:r w:rsidR="00CA1620">
        <w:t>d already saturated with manure,</w:t>
      </w:r>
      <w:r w:rsidR="00FE403D">
        <w:t>”</w:t>
      </w:r>
      <w:r w:rsidR="00CA1620">
        <w:t xml:space="preserve"> causing runoff</w:t>
      </w:r>
      <w:r w:rsidR="00D12F21">
        <w:t xml:space="preserve"> and leaks into the aquifer</w:t>
      </w:r>
      <w:r w:rsidR="00CA1620">
        <w:t>.</w:t>
      </w:r>
      <w:r w:rsidR="00FE403D">
        <w:rPr>
          <w:rStyle w:val="FootnoteReference"/>
        </w:rPr>
        <w:footnoteReference w:id="32"/>
      </w:r>
      <w:r w:rsidR="00EF040D">
        <w:t xml:space="preserve"> </w:t>
      </w:r>
      <w:r w:rsidR="00BE794A">
        <w:t>T</w:t>
      </w:r>
      <w:r w:rsidR="00EA31DB">
        <w:t>h</w:t>
      </w:r>
      <w:r w:rsidR="001B0CF1">
        <w:t xml:space="preserve">ese waste management strategies fail to protect surrounding communities from the </w:t>
      </w:r>
      <w:r w:rsidR="00BE794A">
        <w:t>environmental impact</w:t>
      </w:r>
      <w:r w:rsidR="00AE62A0">
        <w:t>s</w:t>
      </w:r>
      <w:r w:rsidR="001B0CF1">
        <w:t xml:space="preserve"> of the industry</w:t>
      </w:r>
      <w:r w:rsidR="00EA31DB">
        <w:t xml:space="preserve">. </w:t>
      </w:r>
      <w:r w:rsidR="001B0CF1">
        <w:t>Instead</w:t>
      </w:r>
      <w:r w:rsidR="00AE62A0">
        <w:t xml:space="preserve">, </w:t>
      </w:r>
      <w:r w:rsidR="00EA31DB">
        <w:t xml:space="preserve">CAFOs heap </w:t>
      </w:r>
      <w:r w:rsidR="0074777C">
        <w:t xml:space="preserve">further injustice on </w:t>
      </w:r>
      <w:r w:rsidR="00EA31DB">
        <w:t xml:space="preserve">surrounding North Carolina </w:t>
      </w:r>
      <w:r w:rsidR="0074777C">
        <w:t xml:space="preserve">communities by polluting their water and air, </w:t>
      </w:r>
      <w:r w:rsidR="001B0CF1">
        <w:t>depressing</w:t>
      </w:r>
      <w:r w:rsidR="0074777C">
        <w:t xml:space="preserve"> their property values, and</w:t>
      </w:r>
      <w:r w:rsidR="008A7169">
        <w:t xml:space="preserve"> </w:t>
      </w:r>
      <w:r w:rsidR="00F32497">
        <w:t>harming their health</w:t>
      </w:r>
      <w:r w:rsidR="00E04F61">
        <w:t>.</w:t>
      </w:r>
    </w:p>
    <w:p w14:paraId="2FB98516" w14:textId="44EF9F73" w:rsidR="00400944" w:rsidRPr="00400944" w:rsidRDefault="00C466BF" w:rsidP="00400944">
      <w:pPr>
        <w:spacing w:line="480" w:lineRule="auto"/>
        <w:jc w:val="both"/>
        <w:rPr>
          <w:b/>
          <w:i/>
        </w:rPr>
      </w:pPr>
      <w:r>
        <w:rPr>
          <w:b/>
          <w:i/>
        </w:rPr>
        <w:t>A</w:t>
      </w:r>
      <w:r w:rsidR="00400944">
        <w:rPr>
          <w:b/>
          <w:i/>
        </w:rPr>
        <w:t>.</w:t>
      </w:r>
      <w:r w:rsidR="00400944">
        <w:rPr>
          <w:b/>
          <w:i/>
        </w:rPr>
        <w:tab/>
      </w:r>
      <w:r>
        <w:rPr>
          <w:b/>
          <w:i/>
        </w:rPr>
        <w:t>Polluted Water</w:t>
      </w:r>
    </w:p>
    <w:p w14:paraId="5D607D82" w14:textId="1BE04CD6" w:rsidR="00C17EFF" w:rsidRDefault="00497652" w:rsidP="008969B3">
      <w:pPr>
        <w:spacing w:line="480" w:lineRule="auto"/>
        <w:jc w:val="both"/>
      </w:pPr>
      <w:r>
        <w:tab/>
      </w:r>
      <w:r w:rsidR="00165BEB">
        <w:t xml:space="preserve">CAFOs pollute surface and </w:t>
      </w:r>
      <w:proofErr w:type="spellStart"/>
      <w:r w:rsidR="00165BEB">
        <w:t>groundwaters</w:t>
      </w:r>
      <w:proofErr w:type="spellEnd"/>
      <w:r w:rsidR="00165BEB">
        <w:t xml:space="preserve"> in several different ways, including lagoon breaches, catastrophic flooding, and runoff. </w:t>
      </w:r>
      <w:r w:rsidR="00C17EFF">
        <w:t>Potential contaminants include nitrates and pathogens,</w:t>
      </w:r>
      <w:r w:rsidR="00C17EFF">
        <w:rPr>
          <w:rStyle w:val="FootnoteReference"/>
        </w:rPr>
        <w:footnoteReference w:id="33"/>
      </w:r>
      <w:r w:rsidR="00C17EFF">
        <w:t xml:space="preserve"> as well as ammonium, phosphate, dissolved solids, metals and metalloids, pharmaceutical chemicals, and natural and synthetic hormones.</w:t>
      </w:r>
      <w:r w:rsidR="00C17EFF">
        <w:rPr>
          <w:rStyle w:val="FootnoteReference"/>
        </w:rPr>
        <w:footnoteReference w:id="34"/>
      </w:r>
      <w:r w:rsidR="00C17EFF">
        <w:t xml:space="preserve"> “Pathogens are parasites, bacterium, or viruses that are capable of causing disease or infection in animals or </w:t>
      </w:r>
      <w:proofErr w:type="gramStart"/>
      <w:r w:rsidR="00C17EFF">
        <w:t>humans.</w:t>
      </w:r>
      <w:proofErr w:type="gramEnd"/>
      <w:r w:rsidR="00C17EFF">
        <w:t xml:space="preserve"> . . . There are over 150 pathogens in manure that could impact human health.”</w:t>
      </w:r>
      <w:r w:rsidR="00C17EFF">
        <w:rPr>
          <w:rStyle w:val="FootnoteReference"/>
        </w:rPr>
        <w:footnoteReference w:id="35"/>
      </w:r>
      <w:r w:rsidR="00C17EFF">
        <w:t xml:space="preserve"> Metals and metalloids include copper, zinc, arsenic, nickel, and selenium.</w:t>
      </w:r>
      <w:r w:rsidR="00C17EFF">
        <w:rPr>
          <w:rStyle w:val="FootnoteReference"/>
        </w:rPr>
        <w:footnoteReference w:id="36"/>
      </w:r>
      <w:r w:rsidR="00C17EFF">
        <w:t xml:space="preserve"> Pharmaceutical chemicals include antibiotics, and hormones include estrogen.</w:t>
      </w:r>
      <w:r w:rsidR="00C17EFF">
        <w:rPr>
          <w:rStyle w:val="FootnoteReference"/>
        </w:rPr>
        <w:footnoteReference w:id="37"/>
      </w:r>
      <w:r w:rsidR="00357256">
        <w:t xml:space="preserve"> </w:t>
      </w:r>
    </w:p>
    <w:p w14:paraId="5C954F9A" w14:textId="06F06BC9" w:rsidR="008969B3" w:rsidRDefault="00955039" w:rsidP="00357256">
      <w:pPr>
        <w:spacing w:line="480" w:lineRule="auto"/>
        <w:ind w:firstLine="720"/>
        <w:jc w:val="both"/>
      </w:pPr>
      <w:r>
        <w:t>The</w:t>
      </w:r>
      <w:r w:rsidR="00165BEB">
        <w:t xml:space="preserve"> consequences of lagoon breaches</w:t>
      </w:r>
      <w:r w:rsidR="00497652">
        <w:t xml:space="preserve"> are severe</w:t>
      </w:r>
      <w:r w:rsidR="008969B3">
        <w:t>, endangering the water supply and aquatic life</w:t>
      </w:r>
      <w:r w:rsidR="0046244A">
        <w:t xml:space="preserve">. In 1995, </w:t>
      </w:r>
      <w:r w:rsidR="00497652">
        <w:t xml:space="preserve">an eight-acre lagoon breached and spilled “25 million gallons of animal waste into the New River. The spill killed 10 million fish and closed 364,000 acres of coastal wetlands to </w:t>
      </w:r>
      <w:proofErr w:type="spellStart"/>
      <w:r w:rsidR="00497652">
        <w:t>shellfishing</w:t>
      </w:r>
      <w:proofErr w:type="spellEnd"/>
      <w:r w:rsidR="00497652">
        <w:t>.”</w:t>
      </w:r>
      <w:r w:rsidR="00497652">
        <w:rPr>
          <w:rStyle w:val="FootnoteReference"/>
        </w:rPr>
        <w:footnoteReference w:id="38"/>
      </w:r>
      <w:r w:rsidR="00497652">
        <w:t xml:space="preserve"> </w:t>
      </w:r>
      <w:r w:rsidR="000148E2">
        <w:t>L</w:t>
      </w:r>
      <w:r w:rsidR="005A251D">
        <w:t>agoon compromises</w:t>
      </w:r>
      <w:r w:rsidR="00166CB6">
        <w:t xml:space="preserve"> are more likely during hurricane season. </w:t>
      </w:r>
      <w:r w:rsidR="0046244A">
        <w:t>Hurricane Floyd pummeled</w:t>
      </w:r>
      <w:r w:rsidR="00CA1620">
        <w:t xml:space="preserve"> the North C</w:t>
      </w:r>
      <w:r w:rsidR="00117B2D">
        <w:t>arolina coast in 1999 and compromised 52 lagoons, releasing uncontrolled waste into the floodwaters.</w:t>
      </w:r>
      <w:r w:rsidR="00117B2D">
        <w:rPr>
          <w:rStyle w:val="FootnoteReference"/>
        </w:rPr>
        <w:footnoteReference w:id="39"/>
      </w:r>
      <w:r w:rsidR="00117B2D">
        <w:t xml:space="preserve"> </w:t>
      </w:r>
      <w:r w:rsidR="00E222CF">
        <w:t>“</w:t>
      </w:r>
      <w:r w:rsidR="00E222CF" w:rsidRPr="00E222CF">
        <w:t xml:space="preserve">Sampling conducted after Hurricane Floyd in 1999 found dangerous levels of </w:t>
      </w:r>
      <w:r w:rsidR="00E222CF" w:rsidRPr="00E222CF">
        <w:rPr>
          <w:i/>
          <w:iCs/>
        </w:rPr>
        <w:t>E. Coli</w:t>
      </w:r>
      <w:r w:rsidR="00E222CF" w:rsidRPr="00E222CF">
        <w:t xml:space="preserve"> and </w:t>
      </w:r>
      <w:r w:rsidR="00E222CF" w:rsidRPr="00E222CF">
        <w:rPr>
          <w:i/>
          <w:iCs/>
        </w:rPr>
        <w:t xml:space="preserve">Clostridium </w:t>
      </w:r>
      <w:proofErr w:type="spellStart"/>
      <w:r w:rsidR="00E222CF" w:rsidRPr="00E222CF">
        <w:rPr>
          <w:i/>
          <w:iCs/>
        </w:rPr>
        <w:t>perfringens</w:t>
      </w:r>
      <w:proofErr w:type="spellEnd"/>
      <w:r w:rsidR="00E222CF" w:rsidRPr="00E222CF">
        <w:rPr>
          <w:i/>
          <w:iCs/>
        </w:rPr>
        <w:t xml:space="preserve"> </w:t>
      </w:r>
      <w:r w:rsidR="00E222CF" w:rsidRPr="00E222CF">
        <w:t>in water, even after floodwaters had receded.</w:t>
      </w:r>
      <w:r w:rsidR="00E222CF">
        <w:t>”</w:t>
      </w:r>
      <w:r w:rsidR="00E222CF">
        <w:rPr>
          <w:rStyle w:val="FootnoteReference"/>
        </w:rPr>
        <w:footnoteReference w:id="40"/>
      </w:r>
      <w:r w:rsidR="00E222CF">
        <w:t xml:space="preserve"> </w:t>
      </w:r>
      <w:r w:rsidR="00400944">
        <w:t xml:space="preserve">In 2016, </w:t>
      </w:r>
      <w:r w:rsidR="00BE61F6">
        <w:t>it happened again. Hurricane Matthew</w:t>
      </w:r>
      <w:r w:rsidR="007E2043">
        <w:t xml:space="preserve"> dumped 18 inches of rain on the North Carolina coastal plains, causing flooding so </w:t>
      </w:r>
      <w:r w:rsidR="008969B3">
        <w:t>extensive</w:t>
      </w:r>
      <w:r w:rsidR="007E2043">
        <w:t xml:space="preserve"> that it was visible from space.</w:t>
      </w:r>
      <w:r w:rsidR="007E2043">
        <w:rPr>
          <w:rStyle w:val="FootnoteReference"/>
        </w:rPr>
        <w:footnoteReference w:id="41"/>
      </w:r>
      <w:r w:rsidR="007E2043">
        <w:t xml:space="preserve"> </w:t>
      </w:r>
      <w:r w:rsidR="004B0B33">
        <w:t>“[</w:t>
      </w:r>
      <w:proofErr w:type="gramStart"/>
      <w:r w:rsidR="004B0B33">
        <w:t>T]</w:t>
      </w:r>
      <w:r w:rsidR="00362883" w:rsidRPr="00362883">
        <w:t>he</w:t>
      </w:r>
      <w:proofErr w:type="gramEnd"/>
      <w:r w:rsidR="00362883" w:rsidRPr="00362883">
        <w:t xml:space="preserve"> flood partially submerged 10 industrial pig farms with 39 barns</w:t>
      </w:r>
      <w:r w:rsidR="004B0B33">
        <w:t xml:space="preserve"> . . . </w:t>
      </w:r>
      <w:r w:rsidR="00362883" w:rsidRPr="00362883">
        <w:t>and 14 open-air pits holding millions of gallons of liquid hog manure.</w:t>
      </w:r>
      <w:r w:rsidR="004B0B33">
        <w:t>”</w:t>
      </w:r>
      <w:r w:rsidR="00400944">
        <w:rPr>
          <w:rStyle w:val="FootnoteReference"/>
        </w:rPr>
        <w:footnoteReference w:id="42"/>
      </w:r>
      <w:r w:rsidR="007644B4">
        <w:t xml:space="preserve"> </w:t>
      </w:r>
      <w:r w:rsidR="000148E2">
        <w:t>Once more</w:t>
      </w:r>
      <w:r w:rsidR="00BE61F6">
        <w:t>, uncontrolled waste flowed</w:t>
      </w:r>
      <w:r w:rsidR="000148E2">
        <w:t xml:space="preserve"> freely</w:t>
      </w:r>
      <w:r w:rsidR="00BE61F6">
        <w:t xml:space="preserve"> from lagoons into the floodwaters</w:t>
      </w:r>
      <w:r w:rsidR="0025332A">
        <w:t>.</w:t>
      </w:r>
      <w:r w:rsidR="008969B3">
        <w:t xml:space="preserve"> </w:t>
      </w:r>
      <w:proofErr w:type="spellStart"/>
      <w:r w:rsidR="00B3689A">
        <w:t>Sprayfields</w:t>
      </w:r>
      <w:proofErr w:type="spellEnd"/>
      <w:r w:rsidR="00B3689A">
        <w:t xml:space="preserve"> saturated with</w:t>
      </w:r>
      <w:r w:rsidR="008969B3">
        <w:t xml:space="preserve"> lagoon</w:t>
      </w:r>
      <w:r w:rsidR="00B3689A">
        <w:t xml:space="preserve"> waste are also submerged following such major flooding events.</w:t>
      </w:r>
      <w:r w:rsidR="00222CF0">
        <w:rPr>
          <w:rStyle w:val="FootnoteReference"/>
        </w:rPr>
        <w:footnoteReference w:id="43"/>
      </w:r>
      <w:r w:rsidR="00F739C4">
        <w:t xml:space="preserve"> </w:t>
      </w:r>
    </w:p>
    <w:p w14:paraId="73380845" w14:textId="585E2884" w:rsidR="00B3689A" w:rsidRDefault="001D4B43" w:rsidP="008969B3">
      <w:pPr>
        <w:spacing w:line="480" w:lineRule="auto"/>
        <w:ind w:firstLine="720"/>
        <w:jc w:val="both"/>
      </w:pPr>
      <w:r>
        <w:t>E</w:t>
      </w:r>
      <w:r w:rsidR="0067447F">
        <w:t xml:space="preserve">ven during normal weather conditions, </w:t>
      </w:r>
      <w:proofErr w:type="spellStart"/>
      <w:r w:rsidR="0067447F">
        <w:t>sprayfield</w:t>
      </w:r>
      <w:proofErr w:type="spellEnd"/>
      <w:r w:rsidR="0067447F">
        <w:t xml:space="preserve"> runoff threatens North Carolina lakes, rivers, streams, and other surface waters. </w:t>
      </w:r>
      <w:r w:rsidR="00F96707">
        <w:t>Indeed, “[</w:t>
      </w:r>
      <w:proofErr w:type="gramStart"/>
      <w:r w:rsidR="00F96707">
        <w:t>t]</w:t>
      </w:r>
      <w:r w:rsidR="00F96707" w:rsidRPr="00F96707">
        <w:t>he</w:t>
      </w:r>
      <w:proofErr w:type="gramEnd"/>
      <w:r w:rsidR="00F96707" w:rsidRPr="00F96707">
        <w:t xml:space="preserve"> agriculture sector, including CAFOs, is the leading contributor of pollutants to lakes, rivers, and reservoirs. It has been found that states with high concentrations of CAFOs experience on average 20 to 30 serious water quality problems per year as a result of manure management problems</w:t>
      </w:r>
      <w:r w:rsidR="00F96707">
        <w:t>.”</w:t>
      </w:r>
      <w:r w:rsidR="00F96707">
        <w:rPr>
          <w:rStyle w:val="FootnoteReference"/>
        </w:rPr>
        <w:footnoteReference w:id="44"/>
      </w:r>
      <w:r w:rsidR="00F96707">
        <w:t xml:space="preserve"> </w:t>
      </w:r>
      <w:r w:rsidR="00325997">
        <w:t>These contaminations cause loss of aquatic life</w:t>
      </w:r>
      <w:r w:rsidR="00925AFC">
        <w:t xml:space="preserve"> and invade the water supply</w:t>
      </w:r>
      <w:r w:rsidR="000148E2">
        <w:t>.</w:t>
      </w:r>
      <w:r w:rsidR="00325997">
        <w:rPr>
          <w:rStyle w:val="FootnoteReference"/>
        </w:rPr>
        <w:footnoteReference w:id="45"/>
      </w:r>
      <w:r w:rsidR="00325997">
        <w:t xml:space="preserve"> </w:t>
      </w:r>
    </w:p>
    <w:p w14:paraId="32D0FFE8" w14:textId="5A8A9260" w:rsidR="00B03739" w:rsidRDefault="00F739C4" w:rsidP="00B3689A">
      <w:pPr>
        <w:spacing w:line="480" w:lineRule="auto"/>
        <w:ind w:firstLine="720"/>
        <w:jc w:val="both"/>
        <w:rPr>
          <w:szCs w:val="20"/>
        </w:rPr>
      </w:pPr>
      <w:r>
        <w:t>L</w:t>
      </w:r>
      <w:r w:rsidR="00EF040D">
        <w:t>agoons</w:t>
      </w:r>
      <w:r w:rsidR="00222CF0">
        <w:t xml:space="preserve"> and </w:t>
      </w:r>
      <w:proofErr w:type="spellStart"/>
      <w:r w:rsidR="00222CF0">
        <w:t>sprayfields</w:t>
      </w:r>
      <w:proofErr w:type="spellEnd"/>
      <w:r w:rsidR="00EF040D">
        <w:t xml:space="preserve"> </w:t>
      </w:r>
      <w:r>
        <w:t xml:space="preserve">also </w:t>
      </w:r>
      <w:r w:rsidR="00A362A8">
        <w:t xml:space="preserve">compromise </w:t>
      </w:r>
      <w:r w:rsidR="00222CF0">
        <w:t>groundwater</w:t>
      </w:r>
      <w:r>
        <w:t xml:space="preserve"> on a regular basis</w:t>
      </w:r>
      <w:r w:rsidR="008969B3">
        <w:t>.</w:t>
      </w:r>
      <w:r w:rsidR="00EF040D">
        <w:rPr>
          <w:rStyle w:val="FootnoteReference"/>
        </w:rPr>
        <w:footnoteReference w:id="46"/>
      </w:r>
      <w:r w:rsidR="00B03739">
        <w:t xml:space="preserve"> </w:t>
      </w:r>
    </w:p>
    <w:p w14:paraId="7F630E3D" w14:textId="7DF9AD47" w:rsidR="00BE61F6" w:rsidRDefault="00B03739" w:rsidP="00B03739">
      <w:pPr>
        <w:ind w:left="1440" w:right="1440"/>
        <w:jc w:val="both"/>
        <w:rPr>
          <w:szCs w:val="20"/>
        </w:rPr>
      </w:pPr>
      <w:r w:rsidRPr="00357256">
        <w:rPr>
          <w:szCs w:val="20"/>
        </w:rPr>
        <w:t>Contaminants can enter ground water from a variety of CAFO sources, including leaking lagoons, breaches in piping or barn infrastructure, and land application of liquid and solid wastes. There are guidelines for design and construction of barns, infrastructure piping, and lagoons that in theory would preclude leakage to ground water, but in practice these events do occur. In fact, even when properly constructed, slow leakage from lagoons over time can release large amounts of contaminants such as ammonium.</w:t>
      </w:r>
      <w:r w:rsidR="006A3DA3" w:rsidRPr="00357256">
        <w:rPr>
          <w:rStyle w:val="FootnoteReference"/>
        </w:rPr>
        <w:footnoteReference w:id="47"/>
      </w:r>
    </w:p>
    <w:p w14:paraId="6E797EA4" w14:textId="77777777" w:rsidR="00B03739" w:rsidRDefault="00B03739" w:rsidP="00B03739">
      <w:pPr>
        <w:jc w:val="both"/>
      </w:pPr>
    </w:p>
    <w:p w14:paraId="53FF1512" w14:textId="68B38F44" w:rsidR="00AC5D87" w:rsidRDefault="0040052C" w:rsidP="00357256">
      <w:pPr>
        <w:spacing w:line="480" w:lineRule="auto"/>
        <w:jc w:val="both"/>
      </w:pPr>
      <w:r>
        <w:t>Contaminated groundwater leads to contaminated drinking water</w:t>
      </w:r>
      <w:r w:rsidR="004859D9">
        <w:t xml:space="preserve"> in rural areas like the Black Belt</w:t>
      </w:r>
      <w:r>
        <w:t>.</w:t>
      </w:r>
      <w:r w:rsidR="004D1416">
        <w:rPr>
          <w:rStyle w:val="FootnoteReference"/>
        </w:rPr>
        <w:footnoteReference w:id="48"/>
      </w:r>
      <w:r>
        <w:t xml:space="preserve"> </w:t>
      </w:r>
      <w:r w:rsidR="004859D9">
        <w:t xml:space="preserve">Indeed, </w:t>
      </w:r>
      <w:r w:rsidR="009157A3">
        <w:t xml:space="preserve">rural populations have </w:t>
      </w:r>
      <w:r w:rsidR="004859D9">
        <w:t>elevated</w:t>
      </w:r>
      <w:r w:rsidR="009157A3">
        <w:t xml:space="preserve"> rates of reliance upon wells</w:t>
      </w:r>
      <w:r w:rsidR="004859D9">
        <w:t xml:space="preserve"> for drinking water</w:t>
      </w:r>
      <w:r w:rsidR="009157A3">
        <w:t>.</w:t>
      </w:r>
      <w:r w:rsidR="00FB091F">
        <w:rPr>
          <w:rStyle w:val="FootnoteReference"/>
        </w:rPr>
        <w:footnoteReference w:id="49"/>
      </w:r>
      <w:r w:rsidR="009157A3">
        <w:t xml:space="preserve"> </w:t>
      </w:r>
      <w:r w:rsidR="004859D9">
        <w:t xml:space="preserve">Nonetheless, in this area of North Carolina, </w:t>
      </w:r>
      <w:r w:rsidR="009157A3">
        <w:t>“[</w:t>
      </w:r>
      <w:proofErr w:type="gramStart"/>
      <w:r w:rsidR="009157A3">
        <w:t>m]</w:t>
      </w:r>
      <w:proofErr w:type="spellStart"/>
      <w:r w:rsidR="009157A3">
        <w:t>ost</w:t>
      </w:r>
      <w:proofErr w:type="spellEnd"/>
      <w:proofErr w:type="gramEnd"/>
      <w:r w:rsidR="009157A3">
        <w:t xml:space="preserve"> hog operations . . . are located in areas with high dependence on well-water for drinking.”</w:t>
      </w:r>
      <w:r w:rsidR="009157A3">
        <w:rPr>
          <w:rStyle w:val="FootnoteReference"/>
        </w:rPr>
        <w:footnoteReference w:id="50"/>
      </w:r>
      <w:r w:rsidR="009157A3">
        <w:t xml:space="preserve"> </w:t>
      </w:r>
      <w:r w:rsidR="004859D9">
        <w:t xml:space="preserve">Those that do rely on wells for drinking water are at higher risk for water contamination because </w:t>
      </w:r>
      <w:r w:rsidR="00FB091F">
        <w:t xml:space="preserve">the </w:t>
      </w:r>
      <w:r w:rsidR="004859D9">
        <w:t xml:space="preserve">Black Belt is located on the </w:t>
      </w:r>
      <w:r w:rsidR="009157A3">
        <w:t>North Carolina</w:t>
      </w:r>
      <w:r w:rsidR="00FB091F">
        <w:t xml:space="preserve"> Coastal Plain</w:t>
      </w:r>
      <w:r w:rsidR="004859D9">
        <w:t>, which</w:t>
      </w:r>
      <w:r w:rsidR="00FB091F">
        <w:t xml:space="preserve"> has high water tables and wells that are unlined and shallow.</w:t>
      </w:r>
      <w:r w:rsidR="00FB091F">
        <w:rPr>
          <w:rStyle w:val="FootnoteReference"/>
        </w:rPr>
        <w:footnoteReference w:id="51"/>
      </w:r>
      <w:r w:rsidR="004859D9">
        <w:t xml:space="preserve"> </w:t>
      </w:r>
      <w:r w:rsidR="00982F18">
        <w:t>For these reasons, some residents have stopped using their wells</w:t>
      </w:r>
      <w:r w:rsidR="00486DB0">
        <w:t>.</w:t>
      </w:r>
      <w:r w:rsidR="00486DB0">
        <w:rPr>
          <w:rStyle w:val="FootnoteReference"/>
        </w:rPr>
        <w:footnoteReference w:id="52"/>
      </w:r>
    </w:p>
    <w:p w14:paraId="44DAA9ED" w14:textId="77777777" w:rsidR="00CC71A1" w:rsidRDefault="000D743C" w:rsidP="00357256">
      <w:pPr>
        <w:spacing w:line="480" w:lineRule="auto"/>
        <w:jc w:val="both"/>
      </w:pPr>
      <w:r>
        <w:tab/>
      </w:r>
      <w:r w:rsidRPr="00CB1E7F">
        <w:t>The health impact</w:t>
      </w:r>
      <w:r w:rsidR="00CB1E7F" w:rsidRPr="00CB1E7F">
        <w:t>s of polluted water are serious, particularly for those community members who have weakened immune systems.</w:t>
      </w:r>
      <w:r w:rsidR="0081320F">
        <w:t xml:space="preserve"> Symptoms of illnesses caused by contaminated water include “nausea, vomiting, fever, diarrhea, muscle pain, death,” and kidney failure.</w:t>
      </w:r>
      <w:r w:rsidR="0081320F">
        <w:rPr>
          <w:rStyle w:val="FootnoteReference"/>
        </w:rPr>
        <w:footnoteReference w:id="53"/>
      </w:r>
      <w:r w:rsidR="0081320F">
        <w:t xml:space="preserve"> </w:t>
      </w:r>
      <w:r w:rsidR="00CB1E7F">
        <w:t xml:space="preserve"> “T</w:t>
      </w:r>
      <w:r w:rsidR="00CB1E7F" w:rsidRPr="00CB1E7F">
        <w:t>hose who have weakened immune systems are at increased risk for severe illness or death. Those at higher risk include infants or young children, pregnant women, the elderly, and those who are immunosuppressed, HIV positive, or have had chemotherapy. This risk group now roughly compromi</w:t>
      </w:r>
      <w:r w:rsidR="00CB1E7F">
        <w:t>ses 20% of the U.S. population.”</w:t>
      </w:r>
      <w:r w:rsidR="00CB1E7F">
        <w:rPr>
          <w:rStyle w:val="FootnoteReference"/>
        </w:rPr>
        <w:footnoteReference w:id="54"/>
      </w:r>
      <w:r w:rsidR="00CC71A1">
        <w:t xml:space="preserve"> </w:t>
      </w:r>
    </w:p>
    <w:p w14:paraId="7EA98BD9" w14:textId="77777777" w:rsidR="00AB201A" w:rsidRDefault="00CC71A1" w:rsidP="00357256">
      <w:pPr>
        <w:spacing w:line="480" w:lineRule="auto"/>
        <w:jc w:val="both"/>
      </w:pPr>
      <w:r>
        <w:tab/>
        <w:t xml:space="preserve">In addition to pathogen-driven illnesses, there is also the </w:t>
      </w:r>
      <w:r w:rsidR="00AB201A">
        <w:t>threat of new viruses</w:t>
      </w:r>
      <w:r>
        <w:t>.</w:t>
      </w:r>
      <w:r>
        <w:rPr>
          <w:rStyle w:val="FootnoteReference"/>
        </w:rPr>
        <w:footnoteReference w:id="55"/>
      </w:r>
      <w:r>
        <w:t xml:space="preserve"> </w:t>
      </w:r>
      <w:r w:rsidR="003809CF">
        <w:t xml:space="preserve">Indeed, there is speculation that </w:t>
      </w:r>
      <w:r>
        <w:t xml:space="preserve">H1N1 may have </w:t>
      </w:r>
      <w:r w:rsidR="00AB201A">
        <w:t>spawned</w:t>
      </w:r>
      <w:r>
        <w:t xml:space="preserve"> in pig CAFOs in Mexico.</w:t>
      </w:r>
      <w:r w:rsidR="003809CF">
        <w:rPr>
          <w:rStyle w:val="FootnoteReference"/>
        </w:rPr>
        <w:footnoteReference w:id="56"/>
      </w:r>
      <w:r w:rsidR="00420CD7">
        <w:t xml:space="preserve"> But despite this risk, </w:t>
      </w:r>
      <w:r>
        <w:t>CAFOs are not required to test for new viruses becaus</w:t>
      </w:r>
      <w:r w:rsidR="003809CF">
        <w:t>e they are not on the list of mandatory reportable illnesses</w:t>
      </w:r>
      <w:r>
        <w:t xml:space="preserve"> </w:t>
      </w:r>
      <w:r w:rsidR="00420CD7">
        <w:t>to the World Organization for Animal Health.</w:t>
      </w:r>
      <w:r w:rsidR="00420CD7">
        <w:rPr>
          <w:rStyle w:val="FootnoteReference"/>
        </w:rPr>
        <w:footnoteReference w:id="57"/>
      </w:r>
      <w:r w:rsidR="00420CD7">
        <w:t xml:space="preserve"> </w:t>
      </w:r>
    </w:p>
    <w:p w14:paraId="7073D900" w14:textId="7486C590" w:rsidR="000D743C" w:rsidRPr="00D422E8" w:rsidRDefault="00AB201A" w:rsidP="001B7FE3">
      <w:pPr>
        <w:spacing w:line="480" w:lineRule="auto"/>
        <w:ind w:firstLine="720"/>
        <w:jc w:val="both"/>
      </w:pPr>
      <w:r>
        <w:t>Finally, there are often antibiotics in CAFO animal feed.</w:t>
      </w:r>
      <w:r>
        <w:rPr>
          <w:rStyle w:val="FootnoteReference"/>
        </w:rPr>
        <w:footnoteReference w:id="58"/>
      </w:r>
      <w:r>
        <w:t xml:space="preserve"> </w:t>
      </w:r>
      <w:r w:rsidR="001B7FE3">
        <w:t>Seventy percent of all antibiotics used in the United States are administered to animals as additives in their feed.</w:t>
      </w:r>
      <w:r w:rsidR="001B7FE3">
        <w:rPr>
          <w:rStyle w:val="FootnoteReference"/>
        </w:rPr>
        <w:footnoteReference w:id="59"/>
      </w:r>
      <w:r w:rsidR="001B7FE3">
        <w:t xml:space="preserve"> </w:t>
      </w:r>
      <w:r>
        <w:t>“</w:t>
      </w:r>
      <w:r w:rsidRPr="00AB201A">
        <w:t>The antibiotics often are not fully metabolized by animals, and can be present in their manure. If manure pollutes a water supply, antibiotics can also leech int</w:t>
      </w:r>
      <w:r>
        <w:t>o groundwater or surface water.”</w:t>
      </w:r>
      <w:r>
        <w:rPr>
          <w:rStyle w:val="FootnoteReference"/>
        </w:rPr>
        <w:footnoteReference w:id="60"/>
      </w:r>
      <w:r>
        <w:t xml:space="preserve"> The risk to the community is high, because this exposure causes antibiotics to be less effective for </w:t>
      </w:r>
      <w:r w:rsidR="001B7FE3">
        <w:t>humans while also leading to the development of antibiotic-resistant microbes.</w:t>
      </w:r>
      <w:r w:rsidR="001B7FE3">
        <w:rPr>
          <w:rStyle w:val="FootnoteReference"/>
        </w:rPr>
        <w:footnoteReference w:id="61"/>
      </w:r>
      <w:r w:rsidR="001B7FE3">
        <w:t xml:space="preserve"> </w:t>
      </w:r>
      <w:r>
        <w:t xml:space="preserve">  </w:t>
      </w:r>
    </w:p>
    <w:p w14:paraId="00C4AFD9" w14:textId="6F46A535" w:rsidR="006873ED" w:rsidRDefault="00C466BF" w:rsidP="007217AD">
      <w:pPr>
        <w:spacing w:line="480" w:lineRule="auto"/>
        <w:rPr>
          <w:b/>
          <w:i/>
        </w:rPr>
      </w:pPr>
      <w:r>
        <w:rPr>
          <w:b/>
          <w:i/>
        </w:rPr>
        <w:t>B</w:t>
      </w:r>
      <w:r w:rsidR="006873ED">
        <w:rPr>
          <w:b/>
          <w:i/>
        </w:rPr>
        <w:t>.</w:t>
      </w:r>
      <w:r w:rsidR="006873ED">
        <w:rPr>
          <w:b/>
          <w:i/>
        </w:rPr>
        <w:tab/>
      </w:r>
      <w:r>
        <w:rPr>
          <w:b/>
          <w:i/>
        </w:rPr>
        <w:t>Polluted Air</w:t>
      </w:r>
    </w:p>
    <w:p w14:paraId="5D544455" w14:textId="6FE4215B" w:rsidR="00346A1E" w:rsidRDefault="00524108" w:rsidP="00346A1E">
      <w:pPr>
        <w:spacing w:line="480" w:lineRule="auto"/>
        <w:ind w:firstLine="720"/>
        <w:jc w:val="both"/>
      </w:pPr>
      <w:r>
        <w:t>CAFOs produce emissions that</w:t>
      </w:r>
      <w:r w:rsidR="00174177">
        <w:t xml:space="preserve"> fuel climate change</w:t>
      </w:r>
      <w:r w:rsidR="00174177">
        <w:rPr>
          <w:rStyle w:val="FootnoteReference"/>
        </w:rPr>
        <w:footnoteReference w:id="62"/>
      </w:r>
      <w:r w:rsidR="00174177">
        <w:t xml:space="preserve"> and</w:t>
      </w:r>
      <w:r>
        <w:t xml:space="preserve"> </w:t>
      </w:r>
      <w:r w:rsidR="00875EA7">
        <w:t>diminish</w:t>
      </w:r>
      <w:r w:rsidR="00E949F6">
        <w:t xml:space="preserve"> </w:t>
      </w:r>
      <w:r>
        <w:t>ambient air q</w:t>
      </w:r>
      <w:r w:rsidR="00174177">
        <w:t>uality</w:t>
      </w:r>
      <w:r w:rsidR="00E949F6">
        <w:t xml:space="preserve">. Indeed, </w:t>
      </w:r>
      <w:r w:rsidR="00A2542B">
        <w:t xml:space="preserve">between </w:t>
      </w:r>
      <w:r w:rsidR="000F299F">
        <w:t xml:space="preserve">the </w:t>
      </w:r>
      <w:r w:rsidR="00E949F6">
        <w:t>a</w:t>
      </w:r>
      <w:r w:rsidR="000F299F">
        <w:t xml:space="preserve">nimals themselves </w:t>
      </w:r>
      <w:r>
        <w:t xml:space="preserve">and </w:t>
      </w:r>
      <w:r w:rsidR="000F299F">
        <w:t xml:space="preserve">the </w:t>
      </w:r>
      <w:r w:rsidR="00607B1E">
        <w:t xml:space="preserve">degrading </w:t>
      </w:r>
      <w:r w:rsidR="00E949F6">
        <w:t>waste</w:t>
      </w:r>
      <w:r w:rsidR="00607B1E">
        <w:t xml:space="preserve"> in lagoons and on </w:t>
      </w:r>
      <w:proofErr w:type="spellStart"/>
      <w:r w:rsidR="00607B1E">
        <w:t>sprayfields</w:t>
      </w:r>
      <w:proofErr w:type="spellEnd"/>
      <w:r w:rsidR="00A2542B">
        <w:t>, CAFOs</w:t>
      </w:r>
      <w:r w:rsidR="00607B1E">
        <w:t xml:space="preserve"> </w:t>
      </w:r>
      <w:r w:rsidR="00A2542B">
        <w:t xml:space="preserve">cause asthma, acid range, and climate </w:t>
      </w:r>
      <w:r w:rsidR="00875EA7">
        <w:t>change by releasing the following into the air:</w:t>
      </w:r>
      <w:r w:rsidR="00165BEB">
        <w:t xml:space="preserve"> 400 volatile organic compounds</w:t>
      </w:r>
      <w:r w:rsidR="00875EA7">
        <w:t xml:space="preserve"> (VOC), </w:t>
      </w:r>
      <w:r w:rsidR="00A2542B">
        <w:t>particulate matter</w:t>
      </w:r>
      <w:r w:rsidR="00875EA7">
        <w:t xml:space="preserve"> (PM)</w:t>
      </w:r>
      <w:r w:rsidR="00A2542B">
        <w:t xml:space="preserve">, methane, ammonia, hydrogen sulfide, ozone, endotoxins, </w:t>
      </w:r>
      <w:r w:rsidR="00D72FDB">
        <w:t>and noxious odors</w:t>
      </w:r>
      <w:r w:rsidR="004B0B33">
        <w:t>.</w:t>
      </w:r>
      <w:r w:rsidR="004B0B33">
        <w:rPr>
          <w:rStyle w:val="FootnoteReference"/>
        </w:rPr>
        <w:footnoteReference w:id="63"/>
      </w:r>
      <w:r w:rsidR="00222537">
        <w:t xml:space="preserve"> </w:t>
      </w:r>
    </w:p>
    <w:p w14:paraId="4C0FF1EE" w14:textId="3B9A6CD9" w:rsidR="00346A1E" w:rsidRDefault="00346A1E" w:rsidP="00346A1E">
      <w:pPr>
        <w:spacing w:line="480" w:lineRule="auto"/>
        <w:ind w:firstLine="720"/>
        <w:jc w:val="both"/>
      </w:pPr>
      <w:r>
        <w:t>These emissions are so concentrated that it can be dangerous even to approach a lagoon</w:t>
      </w:r>
      <w:r w:rsidR="00E949F6" w:rsidRPr="00C4477C">
        <w:t>—</w:t>
      </w:r>
      <w:r w:rsidR="00E949F6">
        <w:t>particularly in hot summer months</w:t>
      </w:r>
      <w:r>
        <w:t>.</w:t>
      </w:r>
      <w:r w:rsidR="00E47E36">
        <w:rPr>
          <w:rStyle w:val="FootnoteReference"/>
        </w:rPr>
        <w:footnoteReference w:id="64"/>
      </w:r>
      <w:r w:rsidR="00871F78">
        <w:t xml:space="preserve"> </w:t>
      </w:r>
      <w:r>
        <w:t>“</w:t>
      </w:r>
      <w:r w:rsidRPr="00346A1E">
        <w:t>The oxygen-deficient, toxic, and/or explosive atmosphere which can develop in a manure pit has claimed many lives.</w:t>
      </w:r>
      <w:r>
        <w:t>”</w:t>
      </w:r>
      <w:r>
        <w:rPr>
          <w:rStyle w:val="FootnoteReference"/>
        </w:rPr>
        <w:footnoteReference w:id="65"/>
      </w:r>
      <w:r w:rsidR="00E949F6">
        <w:t xml:space="preserve"> </w:t>
      </w:r>
      <w:r w:rsidR="00871F78">
        <w:t>There are multiple tales of farm workers who entered lagoons to make repairs and succumbed to the emissions. Some died from hydrogen sulfide poisoning, while others asphyxiated in the oxygen-starved air. Others died after collapsing during rescue attempts.</w:t>
      </w:r>
      <w:r w:rsidR="005B13E5">
        <w:rPr>
          <w:rStyle w:val="FootnoteReference"/>
        </w:rPr>
        <w:footnoteReference w:id="66"/>
      </w:r>
      <w:r w:rsidR="00871F78">
        <w:t xml:space="preserve"> </w:t>
      </w:r>
    </w:p>
    <w:p w14:paraId="0729D9CD" w14:textId="39947EDF" w:rsidR="00DE23B3" w:rsidRDefault="00A33102" w:rsidP="00D16111">
      <w:pPr>
        <w:spacing w:line="480" w:lineRule="auto"/>
        <w:ind w:firstLine="720"/>
        <w:jc w:val="both"/>
      </w:pPr>
      <w:r>
        <w:t xml:space="preserve">But it is not necessary to be </w:t>
      </w:r>
      <w:r w:rsidR="00D16111">
        <w:t>near</w:t>
      </w:r>
      <w:r>
        <w:t xml:space="preserve"> a lagoo</w:t>
      </w:r>
      <w:r w:rsidR="000F299F">
        <w:t>n to suffer from the emis</w:t>
      </w:r>
      <w:r w:rsidR="00D16111">
        <w:t>sions</w:t>
      </w:r>
      <w:r w:rsidR="00D16111" w:rsidRPr="00C4477C">
        <w:t>—</w:t>
      </w:r>
      <w:r w:rsidR="002C1F7E">
        <w:t xml:space="preserve">members of communities plagued by CAFOs </w:t>
      </w:r>
      <w:r w:rsidR="00D16111">
        <w:t xml:space="preserve">also </w:t>
      </w:r>
      <w:r w:rsidR="002C1F7E">
        <w:t>carry health risks</w:t>
      </w:r>
      <w:r w:rsidR="00D16111">
        <w:t>. One study showed that people in CAFO-occupied communities “</w:t>
      </w:r>
      <w:r w:rsidR="00D16111" w:rsidRPr="00D16111">
        <w:t>suffered disproportionate levels of tension, anger, confusion, fatigue, depression, and lack of overall vigor, as well as more upper respiratory and gastrointestinal ailments than neighbors of other types of farms and non-livestock areas.</w:t>
      </w:r>
      <w:r w:rsidR="00D16111">
        <w:t>”</w:t>
      </w:r>
      <w:r w:rsidR="002C1F7E">
        <w:rPr>
          <w:rStyle w:val="FootnoteReference"/>
        </w:rPr>
        <w:footnoteReference w:id="67"/>
      </w:r>
      <w:r w:rsidR="002C1F7E">
        <w:t xml:space="preserve"> Methane is a respiratory irritant that causes chemical burns to the respiratory tract, skin, and eyes.</w:t>
      </w:r>
      <w:r w:rsidR="002C1F7E">
        <w:rPr>
          <w:rStyle w:val="FootnoteReference"/>
        </w:rPr>
        <w:footnoteReference w:id="68"/>
      </w:r>
      <w:r w:rsidR="002C1F7E">
        <w:t xml:space="preserve"> It also causes severe cough and chronic lung disease.</w:t>
      </w:r>
      <w:r w:rsidR="00A24E03">
        <w:rPr>
          <w:rStyle w:val="FootnoteReference"/>
        </w:rPr>
        <w:footnoteReference w:id="69"/>
      </w:r>
      <w:r w:rsidR="00A24E03">
        <w:t xml:space="preserve"> Hydrogen sulfide is the most acutely dangerous, causing “inflammation of the moist membranes” of the eyes and respiratory tract, as well as olfactory neuron loss and even death.</w:t>
      </w:r>
      <w:r w:rsidR="00A24E03">
        <w:rPr>
          <w:rStyle w:val="FootnoteReference"/>
        </w:rPr>
        <w:footnoteReference w:id="70"/>
      </w:r>
      <w:r w:rsidR="00A24E03">
        <w:t xml:space="preserve"> </w:t>
      </w:r>
      <w:r w:rsidR="00875EA7">
        <w:t>PM</w:t>
      </w:r>
      <w:r w:rsidR="00A24E03">
        <w:t xml:space="preserve"> causes “chronic bronchitis, chronic respiratory symptoms, declines in lung function, [and] organic dust toxic syndrome.”</w:t>
      </w:r>
      <w:r w:rsidR="00A24E03">
        <w:rPr>
          <w:rStyle w:val="FootnoteReference"/>
        </w:rPr>
        <w:footnoteReference w:id="71"/>
      </w:r>
    </w:p>
    <w:p w14:paraId="3006C03E" w14:textId="46994997" w:rsidR="00A770DC" w:rsidRPr="004A0BF8" w:rsidRDefault="00406F2B" w:rsidP="004A0BF8">
      <w:pPr>
        <w:spacing w:line="480" w:lineRule="auto"/>
        <w:ind w:firstLine="720"/>
        <w:jc w:val="both"/>
      </w:pPr>
      <w:r>
        <w:t>Some of t</w:t>
      </w:r>
      <w:r w:rsidR="00DE23B3">
        <w:t>he most vulnerable individuals in these vulnerable communities are children. “</w:t>
      </w:r>
      <w:r w:rsidR="00DE23B3" w:rsidRPr="00DE23B3">
        <w:t>While all community members are at risk from lowered air quality, children take in 20-50% more air than adults, making them more susceptible to lung disease and</w:t>
      </w:r>
      <w:r w:rsidR="00570A43">
        <w:t xml:space="preserve"> health effects</w:t>
      </w:r>
      <w:r w:rsidR="00DE23B3">
        <w:t>.”</w:t>
      </w:r>
      <w:r w:rsidR="00DE23B3">
        <w:rPr>
          <w:rStyle w:val="FootnoteReference"/>
        </w:rPr>
        <w:footnoteReference w:id="72"/>
      </w:r>
      <w:r>
        <w:t xml:space="preserve"> Twenty-six percent of schools surveyed in North Carolina reported that CAFO odors are noticeable outside the school, and 8% reported that the odors were noticeable inside the school.</w:t>
      </w:r>
      <w:r>
        <w:rPr>
          <w:rStyle w:val="FootnoteReference"/>
        </w:rPr>
        <w:footnoteReference w:id="73"/>
      </w:r>
      <w:r>
        <w:t xml:space="preserve"> </w:t>
      </w:r>
      <w:r w:rsidR="005F06C0">
        <w:t>Economically disadvantaged children are more likely to suffer health impacts from CAFOs,</w:t>
      </w:r>
      <w:r w:rsidR="00570A43">
        <w:t xml:space="preserve"> including asthma,</w:t>
      </w:r>
      <w:r w:rsidR="005F06C0">
        <w:t xml:space="preserve"> </w:t>
      </w:r>
      <w:r w:rsidR="00570A43">
        <w:t>because</w:t>
      </w:r>
      <w:r w:rsidR="005F06C0">
        <w:t xml:space="preserve"> those children are more likely to </w:t>
      </w:r>
      <w:r w:rsidR="00570A43">
        <w:t xml:space="preserve">live and </w:t>
      </w:r>
      <w:r w:rsidR="005F06C0">
        <w:t>attend schools in closer proximity to CAFOs.</w:t>
      </w:r>
      <w:r w:rsidR="005F06C0">
        <w:rPr>
          <w:rStyle w:val="FootnoteReference"/>
        </w:rPr>
        <w:footnoteReference w:id="74"/>
      </w:r>
      <w:r w:rsidR="005F06C0">
        <w:t xml:space="preserve"> </w:t>
      </w:r>
    </w:p>
    <w:p w14:paraId="149AB9ED" w14:textId="01E00CC1" w:rsidR="006873ED" w:rsidRDefault="000D743C" w:rsidP="007217AD">
      <w:pPr>
        <w:spacing w:line="480" w:lineRule="auto"/>
        <w:rPr>
          <w:b/>
          <w:i/>
        </w:rPr>
      </w:pPr>
      <w:r>
        <w:rPr>
          <w:b/>
          <w:i/>
        </w:rPr>
        <w:t>C</w:t>
      </w:r>
      <w:r w:rsidR="006873ED">
        <w:rPr>
          <w:b/>
          <w:i/>
        </w:rPr>
        <w:t>.</w:t>
      </w:r>
      <w:r w:rsidR="006873ED">
        <w:rPr>
          <w:b/>
          <w:i/>
        </w:rPr>
        <w:tab/>
        <w:t>Plummeting Property Values</w:t>
      </w:r>
    </w:p>
    <w:p w14:paraId="5A7BA462" w14:textId="4990FA19" w:rsidR="00626924" w:rsidRDefault="008D4306" w:rsidP="008D4306">
      <w:pPr>
        <w:spacing w:line="480" w:lineRule="auto"/>
        <w:jc w:val="both"/>
      </w:pPr>
      <w:r>
        <w:tab/>
        <w:t xml:space="preserve">There is evidence that CAFOs </w:t>
      </w:r>
      <w:r w:rsidR="008846F7">
        <w:t xml:space="preserve">adversely </w:t>
      </w:r>
      <w:r>
        <w:t>affect property values. “</w:t>
      </w:r>
      <w:r w:rsidRPr="008D4306">
        <w:t>The most certain fact regarding CAFOs and property values are that the closer a property is to a CAFO, the more likely it will be that the v</w:t>
      </w:r>
      <w:r>
        <w:t>alue of the property will drop.”</w:t>
      </w:r>
      <w:r>
        <w:rPr>
          <w:rStyle w:val="FootnoteReference"/>
        </w:rPr>
        <w:footnoteReference w:id="75"/>
      </w:r>
      <w:r w:rsidR="00C22D2D">
        <w:t xml:space="preserve"> This decline is due in part to the health risks that CAFOs bring to communities, but it is also due to </w:t>
      </w:r>
      <w:r w:rsidR="00626924">
        <w:t xml:space="preserve">the </w:t>
      </w:r>
      <w:r w:rsidR="00C22D2D">
        <w:t>tremendous nuisance</w:t>
      </w:r>
      <w:r w:rsidR="00626924">
        <w:t>s that CAFOs create</w:t>
      </w:r>
      <w:r w:rsidR="00C22D2D">
        <w:t xml:space="preserve">. </w:t>
      </w:r>
    </w:p>
    <w:p w14:paraId="3504571C" w14:textId="7280E17B" w:rsidR="008F3EAC" w:rsidRDefault="00C22D2D" w:rsidP="00626924">
      <w:pPr>
        <w:spacing w:line="480" w:lineRule="auto"/>
        <w:ind w:firstLine="720"/>
        <w:jc w:val="both"/>
      </w:pPr>
      <w:r>
        <w:t>Odors from pig CAFOs</w:t>
      </w:r>
      <w:r w:rsidR="00E907ED">
        <w:t>, “reminiscent of rotten eggs and ammonia,”</w:t>
      </w:r>
      <w:r>
        <w:t xml:space="preserve"> are insufferable.</w:t>
      </w:r>
      <w:r w:rsidR="00E907ED">
        <w:rPr>
          <w:rStyle w:val="FootnoteReference"/>
        </w:rPr>
        <w:footnoteReference w:id="76"/>
      </w:r>
      <w:r>
        <w:t xml:space="preserve"> “‘</w:t>
      </w:r>
      <w:r w:rsidRPr="00C22D2D">
        <w:t>My family, neighbors, and I have been held prisoner in our own homes by the unbearable stench from the multiple industrial hog operations within a quarter mile of my community.</w:t>
      </w:r>
      <w:r>
        <w:t>’</w:t>
      </w:r>
      <w:r w:rsidRPr="00C22D2D">
        <w:t>”</w:t>
      </w:r>
      <w:r>
        <w:rPr>
          <w:rStyle w:val="FootnoteReference"/>
        </w:rPr>
        <w:footnoteReference w:id="77"/>
      </w:r>
      <w:r>
        <w:t xml:space="preserve"> </w:t>
      </w:r>
      <w:r w:rsidR="00945DDB">
        <w:t xml:space="preserve">Many community members no longer hang laundry outside on clotheslines to dry for fear that their clothing </w:t>
      </w:r>
      <w:r w:rsidR="00ED026F">
        <w:t xml:space="preserve">will be ruined by the fine mist </w:t>
      </w:r>
      <w:r w:rsidR="00945DDB">
        <w:t>of manure that sprinkles their homes and cars.</w:t>
      </w:r>
      <w:r w:rsidR="00945DDB">
        <w:rPr>
          <w:rStyle w:val="FootnoteReference"/>
        </w:rPr>
        <w:footnoteReference w:id="78"/>
      </w:r>
      <w:r w:rsidR="00945DDB">
        <w:t xml:space="preserve"> </w:t>
      </w:r>
      <w:r w:rsidR="00626924">
        <w:t xml:space="preserve">Swarms of flies </w:t>
      </w:r>
      <w:r w:rsidR="00A97E9E">
        <w:t>and mosquitos</w:t>
      </w:r>
      <w:r w:rsidR="004E4342" w:rsidRPr="00C4477C">
        <w:t>—</w:t>
      </w:r>
      <w:r w:rsidR="004E4342">
        <w:t>attracted to the prolific waste in communities plagued by CAFOs</w:t>
      </w:r>
      <w:r w:rsidR="004E4342" w:rsidRPr="00C4477C">
        <w:t>—</w:t>
      </w:r>
      <w:r w:rsidR="004E4342">
        <w:t xml:space="preserve">accompany the odor, bringing </w:t>
      </w:r>
      <w:r w:rsidR="00A97E9E">
        <w:t>even further risk of disease.</w:t>
      </w:r>
      <w:r w:rsidR="00A97E9E">
        <w:rPr>
          <w:rStyle w:val="FootnoteReference"/>
        </w:rPr>
        <w:footnoteReference w:id="79"/>
      </w:r>
      <w:r w:rsidR="006E614A">
        <w:t xml:space="preserve"> </w:t>
      </w:r>
    </w:p>
    <w:p w14:paraId="2E3CA63C" w14:textId="78955FFF" w:rsidR="00D0191D" w:rsidRPr="008F3EAC" w:rsidRDefault="00D0191D" w:rsidP="00626924">
      <w:pPr>
        <w:spacing w:line="480" w:lineRule="auto"/>
        <w:ind w:firstLine="720"/>
        <w:jc w:val="both"/>
      </w:pPr>
      <w:r>
        <w:t>The degree to which CAFOs harm property values varies</w:t>
      </w:r>
      <w:r w:rsidR="003509A6">
        <w:t xml:space="preserve"> depending on several factors</w:t>
      </w:r>
      <w:r>
        <w:t xml:space="preserve">. </w:t>
      </w:r>
      <w:r w:rsidR="00552FD4">
        <w:t xml:space="preserve">One study found that </w:t>
      </w:r>
      <w:r w:rsidR="003509A6">
        <w:t xml:space="preserve">properties </w:t>
      </w:r>
      <w:r w:rsidR="00552FD4">
        <w:t>within</w:t>
      </w:r>
      <w:r w:rsidR="003509A6">
        <w:t xml:space="preserve"> three miles of a CAFO decreased</w:t>
      </w:r>
      <w:r w:rsidR="00552FD4">
        <w:t xml:space="preserve"> </w:t>
      </w:r>
      <w:r w:rsidR="003509A6">
        <w:t>in value</w:t>
      </w:r>
      <w:r w:rsidR="00552FD4">
        <w:t xml:space="preserve"> by 6.6%</w:t>
      </w:r>
      <w:r w:rsidR="003509A6">
        <w:t xml:space="preserve"> on account of the CAFO</w:t>
      </w:r>
      <w:r w:rsidR="00552FD4">
        <w:t xml:space="preserve">, while </w:t>
      </w:r>
      <w:r w:rsidR="003509A6">
        <w:t>properties</w:t>
      </w:r>
      <w:r w:rsidR="00552FD4">
        <w:t xml:space="preserve"> within one tenth of a mile of a CAFO </w:t>
      </w:r>
      <w:r w:rsidR="003509A6">
        <w:t>decreased</w:t>
      </w:r>
      <w:r w:rsidR="00552FD4">
        <w:t xml:space="preserve"> </w:t>
      </w:r>
      <w:r w:rsidR="003509A6">
        <w:t xml:space="preserve">in value </w:t>
      </w:r>
      <w:r w:rsidR="00552FD4">
        <w:t>by as much as 88%.</w:t>
      </w:r>
      <w:r w:rsidR="00552FD4">
        <w:rPr>
          <w:rStyle w:val="FootnoteReference"/>
        </w:rPr>
        <w:footnoteReference w:id="80"/>
      </w:r>
      <w:r w:rsidR="00552FD4">
        <w:t xml:space="preserve"> </w:t>
      </w:r>
      <w:r w:rsidR="000E0798">
        <w:t>Another study suggests that properties downwind from and closest to CAFOs suffer the largest decreases in value.</w:t>
      </w:r>
      <w:r w:rsidR="000E0798">
        <w:rPr>
          <w:rStyle w:val="FootnoteReference"/>
        </w:rPr>
        <w:footnoteReference w:id="81"/>
      </w:r>
      <w:r w:rsidR="003509A6">
        <w:t xml:space="preserve"> The size and type of CAFO can also affect the degree to which </w:t>
      </w:r>
      <w:r w:rsidR="00F93AFE">
        <w:t xml:space="preserve">nearby </w:t>
      </w:r>
      <w:r w:rsidR="003509A6">
        <w:t>properties decrease in value.</w:t>
      </w:r>
      <w:r w:rsidR="003509A6">
        <w:rPr>
          <w:rStyle w:val="FootnoteReference"/>
        </w:rPr>
        <w:footnoteReference w:id="82"/>
      </w:r>
      <w:r w:rsidR="000E0798">
        <w:t xml:space="preserve"> </w:t>
      </w:r>
      <w:r w:rsidR="003509A6">
        <w:t>A</w:t>
      </w:r>
      <w:r w:rsidR="000E0798">
        <w:t xml:space="preserve"> decrease in property value hurts the property owner most directly, but this harm </w:t>
      </w:r>
      <w:r w:rsidR="00CF5621">
        <w:t>infects</w:t>
      </w:r>
      <w:r w:rsidR="000E0798">
        <w:t xml:space="preserve"> the entire </w:t>
      </w:r>
      <w:r w:rsidR="00F93AFE">
        <w:t>local economy</w:t>
      </w:r>
      <w:r w:rsidR="000E0798">
        <w:t xml:space="preserve"> when property tax rates plummet along with property values.</w:t>
      </w:r>
      <w:r w:rsidR="000E0798">
        <w:rPr>
          <w:rStyle w:val="FootnoteReference"/>
        </w:rPr>
        <w:footnoteReference w:id="83"/>
      </w:r>
    </w:p>
    <w:p w14:paraId="32BEEFFA" w14:textId="75B4B39C" w:rsidR="001656CB" w:rsidRDefault="00710063" w:rsidP="003B4E36">
      <w:pPr>
        <w:spacing w:line="480" w:lineRule="auto"/>
        <w:jc w:val="both"/>
        <w:rPr>
          <w:b/>
          <w:sz w:val="26"/>
          <w:szCs w:val="26"/>
        </w:rPr>
      </w:pPr>
      <w:r>
        <w:rPr>
          <w:b/>
          <w:sz w:val="26"/>
          <w:szCs w:val="26"/>
        </w:rPr>
        <w:t>III.</w:t>
      </w:r>
      <w:r>
        <w:rPr>
          <w:b/>
          <w:sz w:val="26"/>
          <w:szCs w:val="26"/>
        </w:rPr>
        <w:tab/>
      </w:r>
      <w:r w:rsidR="001656CB" w:rsidRPr="001656CB">
        <w:rPr>
          <w:b/>
          <w:sz w:val="26"/>
          <w:szCs w:val="26"/>
        </w:rPr>
        <w:t>Law</w:t>
      </w:r>
      <w:r w:rsidR="001D0C1F">
        <w:rPr>
          <w:b/>
          <w:sz w:val="26"/>
          <w:szCs w:val="26"/>
        </w:rPr>
        <w:t xml:space="preserve"> as an Instrument of Oppression: Propping Up CAFOs</w:t>
      </w:r>
    </w:p>
    <w:p w14:paraId="254370A7" w14:textId="59D75CD5" w:rsidR="006D752A" w:rsidRPr="006D752A" w:rsidRDefault="006D752A" w:rsidP="003B4E36">
      <w:pPr>
        <w:spacing w:line="480" w:lineRule="auto"/>
        <w:jc w:val="both"/>
        <w:rPr>
          <w:szCs w:val="26"/>
        </w:rPr>
      </w:pPr>
      <w:r>
        <w:rPr>
          <w:szCs w:val="26"/>
        </w:rPr>
        <w:tab/>
      </w:r>
      <w:r w:rsidR="00386F85">
        <w:rPr>
          <w:szCs w:val="26"/>
        </w:rPr>
        <w:t>While CAFOs devastate the</w:t>
      </w:r>
      <w:r w:rsidR="00C55D07">
        <w:rPr>
          <w:szCs w:val="26"/>
        </w:rPr>
        <w:t xml:space="preserve"> environment and public health, </w:t>
      </w:r>
      <w:r w:rsidR="00386F85">
        <w:rPr>
          <w:szCs w:val="26"/>
        </w:rPr>
        <w:t>they</w:t>
      </w:r>
      <w:r w:rsidR="00C55D07">
        <w:rPr>
          <w:szCs w:val="26"/>
        </w:rPr>
        <w:t xml:space="preserve"> are </w:t>
      </w:r>
      <w:r w:rsidR="00B10904">
        <w:rPr>
          <w:szCs w:val="26"/>
        </w:rPr>
        <w:t xml:space="preserve">severely </w:t>
      </w:r>
      <w:r w:rsidR="00C55D07">
        <w:rPr>
          <w:szCs w:val="26"/>
        </w:rPr>
        <w:t xml:space="preserve">under-regulated at the federal level. And at the state level, </w:t>
      </w:r>
      <w:r w:rsidR="002B65AA">
        <w:rPr>
          <w:szCs w:val="26"/>
        </w:rPr>
        <w:t xml:space="preserve">so-called “right-to-farm” </w:t>
      </w:r>
      <w:r w:rsidR="007C4719">
        <w:rPr>
          <w:szCs w:val="26"/>
        </w:rPr>
        <w:t>and “</w:t>
      </w:r>
      <w:proofErr w:type="spellStart"/>
      <w:r w:rsidR="007C4719">
        <w:rPr>
          <w:szCs w:val="26"/>
        </w:rPr>
        <w:t>ag</w:t>
      </w:r>
      <w:proofErr w:type="spellEnd"/>
      <w:r w:rsidR="007C4719">
        <w:rPr>
          <w:szCs w:val="26"/>
        </w:rPr>
        <w:t xml:space="preserve">-gag” </w:t>
      </w:r>
      <w:r w:rsidR="002B65AA">
        <w:rPr>
          <w:szCs w:val="26"/>
        </w:rPr>
        <w:t>laws</w:t>
      </w:r>
      <w:r w:rsidR="00386F85">
        <w:rPr>
          <w:szCs w:val="26"/>
        </w:rPr>
        <w:t xml:space="preserve"> in </w:t>
      </w:r>
      <w:r w:rsidR="00F56FBD">
        <w:rPr>
          <w:szCs w:val="26"/>
        </w:rPr>
        <w:t>North Carolina</w:t>
      </w:r>
      <w:r w:rsidR="00386F85">
        <w:rPr>
          <w:szCs w:val="26"/>
        </w:rPr>
        <w:t xml:space="preserve"> </w:t>
      </w:r>
      <w:r w:rsidR="002B65AA">
        <w:rPr>
          <w:szCs w:val="26"/>
        </w:rPr>
        <w:t>shield</w:t>
      </w:r>
      <w:r w:rsidR="00386F85">
        <w:rPr>
          <w:szCs w:val="26"/>
        </w:rPr>
        <w:t xml:space="preserve"> CAFO operators</w:t>
      </w:r>
      <w:r w:rsidR="00D129FE">
        <w:rPr>
          <w:szCs w:val="26"/>
        </w:rPr>
        <w:t xml:space="preserve"> f</w:t>
      </w:r>
      <w:r w:rsidR="007C4719">
        <w:rPr>
          <w:szCs w:val="26"/>
        </w:rPr>
        <w:t xml:space="preserve">rom </w:t>
      </w:r>
      <w:r w:rsidR="00D129FE">
        <w:rPr>
          <w:szCs w:val="26"/>
        </w:rPr>
        <w:t xml:space="preserve">nuisance suits </w:t>
      </w:r>
      <w:r w:rsidR="007C4719">
        <w:rPr>
          <w:szCs w:val="26"/>
        </w:rPr>
        <w:t>and whistleblowers</w:t>
      </w:r>
      <w:r w:rsidR="008846F7">
        <w:rPr>
          <w:szCs w:val="26"/>
        </w:rPr>
        <w:t>,</w:t>
      </w:r>
      <w:r w:rsidR="00551152">
        <w:rPr>
          <w:szCs w:val="26"/>
        </w:rPr>
        <w:t xml:space="preserve"> while North Carolina </w:t>
      </w:r>
      <w:r w:rsidR="00185502">
        <w:rPr>
          <w:szCs w:val="26"/>
        </w:rPr>
        <w:t>purports to regulate CAFOs with laws that largely fail to protect communities</w:t>
      </w:r>
      <w:r w:rsidR="00D129FE">
        <w:rPr>
          <w:szCs w:val="26"/>
        </w:rPr>
        <w:t>.</w:t>
      </w:r>
      <w:r w:rsidR="00D129FE">
        <w:rPr>
          <w:rStyle w:val="FootnoteReference"/>
          <w:szCs w:val="26"/>
        </w:rPr>
        <w:footnoteReference w:id="84"/>
      </w:r>
      <w:r w:rsidR="00D129FE">
        <w:rPr>
          <w:szCs w:val="26"/>
        </w:rPr>
        <w:t xml:space="preserve"> </w:t>
      </w:r>
      <w:r w:rsidR="00945DDB">
        <w:rPr>
          <w:szCs w:val="26"/>
        </w:rPr>
        <w:t xml:space="preserve">Thus, the law has parted like the Red Sea to make way for CAFOs and all of the misery that they rain down on vulnerable communities. </w:t>
      </w:r>
    </w:p>
    <w:p w14:paraId="169895C6" w14:textId="08EFAA02" w:rsidR="006873ED" w:rsidRDefault="001656CB" w:rsidP="006873ED">
      <w:pPr>
        <w:spacing w:line="480" w:lineRule="auto"/>
        <w:rPr>
          <w:b/>
          <w:i/>
        </w:rPr>
      </w:pPr>
      <w:r>
        <w:rPr>
          <w:b/>
          <w:i/>
        </w:rPr>
        <w:t>A.</w:t>
      </w:r>
      <w:r>
        <w:rPr>
          <w:b/>
          <w:i/>
        </w:rPr>
        <w:tab/>
      </w:r>
      <w:r w:rsidR="006873ED" w:rsidRPr="001656CB">
        <w:rPr>
          <w:b/>
          <w:i/>
        </w:rPr>
        <w:t>Devil In the Details: The Enforcement Gap</w:t>
      </w:r>
      <w:r w:rsidR="00D40D4C" w:rsidRPr="001656CB">
        <w:rPr>
          <w:b/>
          <w:i/>
        </w:rPr>
        <w:t xml:space="preserve"> </w:t>
      </w:r>
      <w:r>
        <w:rPr>
          <w:b/>
          <w:i/>
        </w:rPr>
        <w:t xml:space="preserve">in </w:t>
      </w:r>
      <w:r w:rsidR="00F56FBD">
        <w:rPr>
          <w:b/>
          <w:i/>
        </w:rPr>
        <w:t xml:space="preserve">Federal </w:t>
      </w:r>
      <w:r>
        <w:rPr>
          <w:b/>
          <w:i/>
        </w:rPr>
        <w:t>Environmental Law</w:t>
      </w:r>
    </w:p>
    <w:p w14:paraId="77F2B271" w14:textId="18AA0E3A" w:rsidR="006D752A" w:rsidRPr="00F5713C" w:rsidRDefault="006D752A" w:rsidP="00F5713C">
      <w:pPr>
        <w:spacing w:line="480" w:lineRule="auto"/>
        <w:ind w:firstLine="720"/>
        <w:jc w:val="both"/>
        <w:rPr>
          <w:szCs w:val="26"/>
        </w:rPr>
      </w:pPr>
      <w:r>
        <w:rPr>
          <w:szCs w:val="26"/>
        </w:rPr>
        <w:t xml:space="preserve">American environmentalism was born in the 1960s. </w:t>
      </w:r>
      <w:r w:rsidR="008846F7">
        <w:rPr>
          <w:szCs w:val="26"/>
        </w:rPr>
        <w:t>Following</w:t>
      </w:r>
      <w:r>
        <w:rPr>
          <w:szCs w:val="26"/>
        </w:rPr>
        <w:t xml:space="preserve"> the passage of the Clean Air Act</w:t>
      </w:r>
      <w:r w:rsidR="00494D89">
        <w:rPr>
          <w:szCs w:val="26"/>
        </w:rPr>
        <w:t xml:space="preserve"> (CAA)</w:t>
      </w:r>
      <w:r>
        <w:rPr>
          <w:rStyle w:val="FootnoteReference"/>
          <w:szCs w:val="26"/>
        </w:rPr>
        <w:footnoteReference w:id="85"/>
      </w:r>
      <w:r>
        <w:rPr>
          <w:szCs w:val="26"/>
        </w:rPr>
        <w:t xml:space="preserve"> </w:t>
      </w:r>
      <w:r w:rsidR="008846F7">
        <w:rPr>
          <w:szCs w:val="26"/>
        </w:rPr>
        <w:t>in 1963</w:t>
      </w:r>
      <w:r w:rsidR="00733318">
        <w:rPr>
          <w:szCs w:val="26"/>
        </w:rPr>
        <w:t xml:space="preserve"> and the Clean Water Act (CWA)</w:t>
      </w:r>
      <w:r w:rsidR="00747107">
        <w:rPr>
          <w:rStyle w:val="FootnoteReference"/>
          <w:szCs w:val="26"/>
        </w:rPr>
        <w:footnoteReference w:id="86"/>
      </w:r>
      <w:r w:rsidR="00747107">
        <w:rPr>
          <w:szCs w:val="26"/>
        </w:rPr>
        <w:t xml:space="preserve"> </w:t>
      </w:r>
      <w:r w:rsidR="00733318">
        <w:rPr>
          <w:szCs w:val="26"/>
        </w:rPr>
        <w:t>in 1972</w:t>
      </w:r>
      <w:r w:rsidR="008846F7">
        <w:rPr>
          <w:szCs w:val="26"/>
        </w:rPr>
        <w:t xml:space="preserve">, </w:t>
      </w:r>
      <w:r>
        <w:rPr>
          <w:szCs w:val="26"/>
        </w:rPr>
        <w:t xml:space="preserve">landmark environmental protection laws began </w:t>
      </w:r>
      <w:r w:rsidR="00733318">
        <w:rPr>
          <w:szCs w:val="26"/>
        </w:rPr>
        <w:t>sprouting up through the decades</w:t>
      </w:r>
      <w:r>
        <w:rPr>
          <w:szCs w:val="26"/>
        </w:rPr>
        <w:t>.</w:t>
      </w:r>
      <w:r w:rsidR="0019411F">
        <w:rPr>
          <w:szCs w:val="26"/>
        </w:rPr>
        <w:t xml:space="preserve"> </w:t>
      </w:r>
      <w:r w:rsidR="00F5713C">
        <w:rPr>
          <w:szCs w:val="26"/>
        </w:rPr>
        <w:t>Still</w:t>
      </w:r>
      <w:r w:rsidR="00381353">
        <w:rPr>
          <w:szCs w:val="26"/>
        </w:rPr>
        <w:t xml:space="preserve">, </w:t>
      </w:r>
      <w:r w:rsidR="00F5713C">
        <w:rPr>
          <w:szCs w:val="26"/>
        </w:rPr>
        <w:t xml:space="preserve">because </w:t>
      </w:r>
      <w:r w:rsidR="00381353">
        <w:rPr>
          <w:szCs w:val="26"/>
        </w:rPr>
        <w:t xml:space="preserve">“farms are </w:t>
      </w:r>
      <w:r w:rsidR="00381353" w:rsidRPr="00381353">
        <w:rPr>
          <w:szCs w:val="26"/>
        </w:rPr>
        <w:t>virtually unregulated by the expansive body of environmental law that has developed in the United States</w:t>
      </w:r>
      <w:r w:rsidR="00221A34">
        <w:rPr>
          <w:szCs w:val="26"/>
        </w:rPr>
        <w:t xml:space="preserve"> . . </w:t>
      </w:r>
      <w:proofErr w:type="gramStart"/>
      <w:r w:rsidR="00221A34">
        <w:rPr>
          <w:szCs w:val="26"/>
        </w:rPr>
        <w:t>. ,</w:t>
      </w:r>
      <w:proofErr w:type="gramEnd"/>
      <w:r w:rsidR="00381353" w:rsidRPr="00381353">
        <w:rPr>
          <w:szCs w:val="26"/>
        </w:rPr>
        <w:t>”</w:t>
      </w:r>
      <w:r w:rsidR="00381353">
        <w:rPr>
          <w:rStyle w:val="FootnoteReference"/>
          <w:szCs w:val="26"/>
        </w:rPr>
        <w:footnoteReference w:id="87"/>
      </w:r>
      <w:r w:rsidR="00F5713C">
        <w:rPr>
          <w:szCs w:val="26"/>
        </w:rPr>
        <w:t xml:space="preserve"> environmental injustice abounds in vulnerable communities.  </w:t>
      </w:r>
      <w:r w:rsidR="00381353" w:rsidRPr="00381353">
        <w:rPr>
          <w:szCs w:val="26"/>
        </w:rPr>
        <w:t xml:space="preserve"> </w:t>
      </w:r>
    </w:p>
    <w:p w14:paraId="76B6793F" w14:textId="51BC003D" w:rsidR="006873ED" w:rsidRDefault="001656CB" w:rsidP="006873ED">
      <w:pPr>
        <w:spacing w:line="480" w:lineRule="auto"/>
        <w:rPr>
          <w:b/>
        </w:rPr>
      </w:pPr>
      <w:r w:rsidRPr="001656CB">
        <w:rPr>
          <w:b/>
        </w:rPr>
        <w:t>1</w:t>
      </w:r>
      <w:r w:rsidR="006873ED" w:rsidRPr="001656CB">
        <w:rPr>
          <w:b/>
        </w:rPr>
        <w:t>.</w:t>
      </w:r>
      <w:r w:rsidR="006873ED" w:rsidRPr="001656CB">
        <w:rPr>
          <w:b/>
        </w:rPr>
        <w:tab/>
        <w:t>The Clean Water Act</w:t>
      </w:r>
    </w:p>
    <w:p w14:paraId="3DD86277" w14:textId="55BD8565" w:rsidR="001547A5" w:rsidRDefault="00296292" w:rsidP="002463BD">
      <w:pPr>
        <w:spacing w:line="480" w:lineRule="auto"/>
        <w:jc w:val="both"/>
      </w:pPr>
      <w:r>
        <w:rPr>
          <w:b/>
        </w:rPr>
        <w:tab/>
      </w:r>
      <w:r w:rsidR="00494D89" w:rsidRPr="00494D89">
        <w:t>The Clean Water Act (CWA)</w:t>
      </w:r>
      <w:r w:rsidR="00887101">
        <w:t xml:space="preserve"> declares in Section 101(a) </w:t>
      </w:r>
      <w:r w:rsidR="00887101" w:rsidRPr="00887101">
        <w:t>that it aims to “restore and maintain the chemical, physical,</w:t>
      </w:r>
      <w:r w:rsidR="00887101">
        <w:t xml:space="preserve"> </w:t>
      </w:r>
      <w:r w:rsidR="00887101" w:rsidRPr="00887101">
        <w:t>and biological integrity of the Nation’s waters” and achieve “water quality which provides for the protection and</w:t>
      </w:r>
      <w:r w:rsidR="00887101">
        <w:t xml:space="preserve"> </w:t>
      </w:r>
      <w:r w:rsidR="00887101" w:rsidRPr="00887101">
        <w:t>propagation of fish, shellfish, and wildlife” by establishing a framework for federal regulation of surface waters</w:t>
      </w:r>
      <w:r w:rsidR="00887101">
        <w:t xml:space="preserve"> quality standards and </w:t>
      </w:r>
      <w:r w:rsidR="00887101" w:rsidRPr="00887101">
        <w:t>pollution</w:t>
      </w:r>
      <w:r w:rsidR="00562D4C">
        <w:t xml:space="preserve"> discharges into the navigable</w:t>
      </w:r>
      <w:r w:rsidR="00887101" w:rsidRPr="00887101">
        <w:t xml:space="preserve"> waters of the United States.</w:t>
      </w:r>
      <w:r w:rsidR="00887101">
        <w:rPr>
          <w:rStyle w:val="FootnoteReference"/>
        </w:rPr>
        <w:footnoteReference w:id="88"/>
      </w:r>
      <w:r w:rsidR="00494D89" w:rsidRPr="00494D89">
        <w:t xml:space="preserve"> </w:t>
      </w:r>
      <w:r w:rsidR="00562D4C">
        <w:t xml:space="preserve">To accomplish this goal, the CWA </w:t>
      </w:r>
      <w:r w:rsidR="00494D89">
        <w:t>“</w:t>
      </w:r>
      <w:r w:rsidR="00494D89" w:rsidRPr="00494D89">
        <w:t>authorizes the regulation and enforcement of requirements that govern waste discharges into U.S. waters</w:t>
      </w:r>
      <w:r w:rsidR="00494D89">
        <w:t>.”</w:t>
      </w:r>
      <w:r w:rsidR="00494D89">
        <w:rPr>
          <w:rStyle w:val="FootnoteReference"/>
        </w:rPr>
        <w:footnoteReference w:id="89"/>
      </w:r>
      <w:r w:rsidR="00887101">
        <w:t xml:space="preserve"> Section 402 of the CWA</w:t>
      </w:r>
      <w:r w:rsidR="00153849">
        <w:rPr>
          <w:rStyle w:val="FootnoteReference"/>
        </w:rPr>
        <w:footnoteReference w:id="90"/>
      </w:r>
      <w:r w:rsidR="00153849">
        <w:t xml:space="preserve"> </w:t>
      </w:r>
      <w:r w:rsidR="00A37B7C">
        <w:t>establishes the National Pollutant Discharge Elimination System (NPDES)</w:t>
      </w:r>
      <w:r w:rsidR="00153849">
        <w:t xml:space="preserve">, which administers the effluent </w:t>
      </w:r>
      <w:r w:rsidR="006A7D30">
        <w:t xml:space="preserve">(waste) </w:t>
      </w:r>
      <w:r w:rsidR="00153849">
        <w:t>limitations established in section 301</w:t>
      </w:r>
      <w:r w:rsidR="00153849">
        <w:rPr>
          <w:rStyle w:val="FootnoteReference"/>
        </w:rPr>
        <w:footnoteReference w:id="91"/>
      </w:r>
      <w:r w:rsidR="00153849">
        <w:t xml:space="preserve"> and prohibits the discharge of pollution</w:t>
      </w:r>
      <w:r w:rsidR="006B29D4">
        <w:rPr>
          <w:rStyle w:val="FootnoteReference"/>
        </w:rPr>
        <w:footnoteReference w:id="92"/>
      </w:r>
      <w:r w:rsidR="00726298">
        <w:t xml:space="preserve"> from point sources</w:t>
      </w:r>
      <w:r w:rsidR="00BF11FE">
        <w:rPr>
          <w:rStyle w:val="FootnoteReference"/>
        </w:rPr>
        <w:footnoteReference w:id="93"/>
      </w:r>
      <w:r w:rsidR="00153849">
        <w:t xml:space="preserve"> into </w:t>
      </w:r>
      <w:r w:rsidR="005F11BF">
        <w:t xml:space="preserve">navigable </w:t>
      </w:r>
      <w:r w:rsidR="00153849">
        <w:t xml:space="preserve">waters </w:t>
      </w:r>
      <w:r w:rsidR="005F11BF">
        <w:t xml:space="preserve">of the United States </w:t>
      </w:r>
      <w:r w:rsidR="00153849">
        <w:t>without a permit</w:t>
      </w:r>
      <w:r w:rsidR="00DE4467">
        <w:t xml:space="preserve"> from the Environmental Protection Agency (EPA) or the state, if the state is qualified to issue </w:t>
      </w:r>
      <w:r w:rsidR="00AA2A29">
        <w:t xml:space="preserve">such </w:t>
      </w:r>
      <w:r w:rsidR="00DE4467">
        <w:t>permits</w:t>
      </w:r>
      <w:r w:rsidR="00A37B7C">
        <w:t>.</w:t>
      </w:r>
      <w:r w:rsidR="00AA2A29">
        <w:rPr>
          <w:rStyle w:val="FootnoteReference"/>
        </w:rPr>
        <w:footnoteReference w:id="94"/>
      </w:r>
      <w:r w:rsidR="00A37B7C">
        <w:t xml:space="preserve"> </w:t>
      </w:r>
    </w:p>
    <w:p w14:paraId="34411D36" w14:textId="0C8F60DC" w:rsidR="00296292" w:rsidRDefault="00A835C3" w:rsidP="001547A5">
      <w:pPr>
        <w:spacing w:line="480" w:lineRule="auto"/>
        <w:ind w:firstLine="720"/>
        <w:jc w:val="both"/>
      </w:pPr>
      <w:r>
        <w:t>Some CAFOs</w:t>
      </w:r>
      <w:r w:rsidR="00792542">
        <w:t xml:space="preserve"> </w:t>
      </w:r>
      <w:r w:rsidR="007C4719">
        <w:t xml:space="preserve">are large enough to qualify as </w:t>
      </w:r>
      <w:r w:rsidR="002B385B">
        <w:t xml:space="preserve">regulated </w:t>
      </w:r>
      <w:r w:rsidR="0087745C">
        <w:t>point sources</w:t>
      </w:r>
      <w:r w:rsidR="00BC1B3A">
        <w:t xml:space="preserve"> under the CAFO R</w:t>
      </w:r>
      <w:r w:rsidR="00641E03">
        <w:t>ule</w:t>
      </w:r>
      <w:r w:rsidR="008846F7">
        <w:t>. T</w:t>
      </w:r>
      <w:r>
        <w:t>hose CAFOs must fulfill permit and annual report requirements</w:t>
      </w:r>
      <w:r w:rsidR="0087745C">
        <w:t>.</w:t>
      </w:r>
      <w:r w:rsidR="002463BD">
        <w:rPr>
          <w:rStyle w:val="FootnoteReference"/>
        </w:rPr>
        <w:footnoteReference w:id="95"/>
      </w:r>
      <w:r>
        <w:t xml:space="preserve"> Regulated CAFOs are also responsible for creating a plan for handling waste.</w:t>
      </w:r>
      <w:r>
        <w:rPr>
          <w:rStyle w:val="FootnoteReference"/>
        </w:rPr>
        <w:footnoteReference w:id="96"/>
      </w:r>
    </w:p>
    <w:p w14:paraId="2FFDFB77" w14:textId="10AA9270" w:rsidR="00641E03" w:rsidRPr="0066213F" w:rsidRDefault="00A835C3" w:rsidP="006F1728">
      <w:pPr>
        <w:spacing w:line="480" w:lineRule="auto"/>
        <w:jc w:val="both"/>
      </w:pPr>
      <w:r>
        <w:tab/>
        <w:t>But t</w:t>
      </w:r>
      <w:r w:rsidR="00EB6C09">
        <w:t>he CWA still fails to prevent CAFOs from polluting water. First,</w:t>
      </w:r>
      <w:r w:rsidR="00641E03">
        <w:t xml:space="preserve"> </w:t>
      </w:r>
      <w:r>
        <w:t>fewer than 10% of all CAFOs are large enough to qualify as a regulated point source under the CAFO Rule.</w:t>
      </w:r>
      <w:r>
        <w:rPr>
          <w:rStyle w:val="FootnoteReference"/>
        </w:rPr>
        <w:footnoteReference w:id="97"/>
      </w:r>
      <w:r>
        <w:t xml:space="preserve"> Second, the </w:t>
      </w:r>
      <w:proofErr w:type="spellStart"/>
      <w:r>
        <w:t>stormwater</w:t>
      </w:r>
      <w:proofErr w:type="spellEnd"/>
      <w:r w:rsidR="00923A2A">
        <w:t xml:space="preserve"> exception swallows the </w:t>
      </w:r>
      <w:r w:rsidR="00030098">
        <w:t xml:space="preserve">CAFO Rule. “Agricultural return flows and </w:t>
      </w:r>
      <w:proofErr w:type="spellStart"/>
      <w:r w:rsidR="00030098">
        <w:t>stormwater</w:t>
      </w:r>
      <w:proofErr w:type="spellEnd"/>
      <w:r w:rsidR="00030098">
        <w:t xml:space="preserve"> discharge are considered non-point sources and therefore do not require NPDES permits to discharge pollutants through these avenues.</w:t>
      </w:r>
      <w:r w:rsidR="009549DC">
        <w:t xml:space="preserve"> This exception to the Clean Water Act extends so far as to include rainwater that contacts stored manure and subsequently flows into navigable waters.</w:t>
      </w:r>
      <w:r w:rsidR="00030098">
        <w:t>”</w:t>
      </w:r>
      <w:r w:rsidR="00030098">
        <w:rPr>
          <w:rStyle w:val="FootnoteReference"/>
        </w:rPr>
        <w:footnoteReference w:id="98"/>
      </w:r>
      <w:r w:rsidR="00794C59">
        <w:t xml:space="preserve"> </w:t>
      </w:r>
      <w:r w:rsidR="006A61C1">
        <w:t>Thus, the CWA fails to regulate runoff</w:t>
      </w:r>
      <w:r w:rsidR="001577BA">
        <w:t xml:space="preserve"> or to provide incentives to CAFO</w:t>
      </w:r>
      <w:r w:rsidR="000075E6">
        <w:t xml:space="preserve"> owners and</w:t>
      </w:r>
      <w:r w:rsidR="001577BA">
        <w:t xml:space="preserve"> operators to try to avoid catastrophes during hurricanes and floods</w:t>
      </w:r>
      <w:r w:rsidR="006A61C1">
        <w:t>.</w:t>
      </w:r>
      <w:r w:rsidR="006A61C1">
        <w:rPr>
          <w:rStyle w:val="FootnoteReference"/>
        </w:rPr>
        <w:footnoteReference w:id="99"/>
      </w:r>
      <w:r w:rsidR="006A61C1">
        <w:t xml:space="preserve"> </w:t>
      </w:r>
      <w:r w:rsidR="00B769AF">
        <w:t xml:space="preserve">Second, </w:t>
      </w:r>
      <w:r w:rsidR="00EB6C09">
        <w:t>punishing</w:t>
      </w:r>
      <w:r w:rsidR="00A448E2">
        <w:t xml:space="preserve"> </w:t>
      </w:r>
      <w:r w:rsidR="00EB6C09">
        <w:t xml:space="preserve">case law has greatly weakened the CAFO Rule, </w:t>
      </w:r>
      <w:r w:rsidR="001577BA">
        <w:t>contributing to the</w:t>
      </w:r>
      <w:r w:rsidR="00EB6C09">
        <w:t xml:space="preserve"> low number of CAFOs that are actually required to obtain a NPDES permit.</w:t>
      </w:r>
      <w:r w:rsidR="00EB6C09">
        <w:rPr>
          <w:rStyle w:val="FootnoteReference"/>
        </w:rPr>
        <w:footnoteReference w:id="100"/>
      </w:r>
      <w:r w:rsidR="00EB6C09">
        <w:t xml:space="preserve"> </w:t>
      </w:r>
      <w:r w:rsidR="00794C59">
        <w:t xml:space="preserve">Third, </w:t>
      </w:r>
      <w:r w:rsidR="002D7FF6">
        <w:t xml:space="preserve">noncompliance is rampant and </w:t>
      </w:r>
      <w:r w:rsidR="00794C59">
        <w:t>enforcement is dismal</w:t>
      </w:r>
      <w:r w:rsidR="00330E2A">
        <w:rPr>
          <w:rStyle w:val="FootnoteReference"/>
        </w:rPr>
        <w:footnoteReference w:id="101"/>
      </w:r>
      <w:r w:rsidR="00794C59" w:rsidRPr="00C4477C">
        <w:t>—</w:t>
      </w:r>
      <w:r w:rsidR="00794C59">
        <w:t>in part due to a lack of data on existing CAFOs.</w:t>
      </w:r>
      <w:r w:rsidR="00794C59">
        <w:rPr>
          <w:rStyle w:val="FootnoteReference"/>
        </w:rPr>
        <w:footnoteReference w:id="102"/>
      </w:r>
      <w:r w:rsidR="00C8553A">
        <w:t xml:space="preserve"> Fourth, the CWA does</w:t>
      </w:r>
      <w:r w:rsidR="002D7FF6">
        <w:t xml:space="preserve"> not </w:t>
      </w:r>
      <w:r w:rsidR="00F55544">
        <w:t xml:space="preserve">directly </w:t>
      </w:r>
      <w:r w:rsidR="002D7FF6">
        <w:t>regulate groundwater</w:t>
      </w:r>
      <w:r w:rsidR="00C8553A">
        <w:t>.</w:t>
      </w:r>
      <w:r w:rsidR="00C8553A">
        <w:rPr>
          <w:rStyle w:val="FootnoteReference"/>
        </w:rPr>
        <w:footnoteReference w:id="103"/>
      </w:r>
    </w:p>
    <w:p w14:paraId="515663CE" w14:textId="315C7504" w:rsidR="006873ED" w:rsidRDefault="001656CB" w:rsidP="006873ED">
      <w:pPr>
        <w:spacing w:line="480" w:lineRule="auto"/>
        <w:rPr>
          <w:b/>
        </w:rPr>
      </w:pPr>
      <w:r w:rsidRPr="001656CB">
        <w:rPr>
          <w:b/>
        </w:rPr>
        <w:t>2</w:t>
      </w:r>
      <w:r w:rsidR="006873ED" w:rsidRPr="001656CB">
        <w:rPr>
          <w:b/>
        </w:rPr>
        <w:t>.</w:t>
      </w:r>
      <w:r w:rsidR="006873ED" w:rsidRPr="001656CB">
        <w:rPr>
          <w:b/>
        </w:rPr>
        <w:tab/>
        <w:t>The Clean Air Act</w:t>
      </w:r>
    </w:p>
    <w:p w14:paraId="41D6D457" w14:textId="63F51CE8" w:rsidR="00C459C2" w:rsidRDefault="00ED143E" w:rsidP="000B0FDA">
      <w:pPr>
        <w:spacing w:line="480" w:lineRule="auto"/>
        <w:jc w:val="both"/>
      </w:pPr>
      <w:r>
        <w:tab/>
      </w:r>
      <w:r w:rsidR="00923A2A" w:rsidRPr="00923A2A">
        <w:t xml:space="preserve">The Clean Air Act (CAA) </w:t>
      </w:r>
      <w:r w:rsidR="00CC3B62">
        <w:t>“regulates ‘</w:t>
      </w:r>
      <w:r w:rsidR="00D15BCB">
        <w:t>crite</w:t>
      </w:r>
      <w:r w:rsidR="00CC3B62">
        <w:t>ria-pollutants’</w:t>
      </w:r>
      <w:r w:rsidR="00D15BCB">
        <w:t xml:space="preserve"> </w:t>
      </w:r>
      <w:r w:rsidR="00CC3B62">
        <w:t>that</w:t>
      </w:r>
      <w:r w:rsidR="00D15BCB">
        <w:t xml:space="preserve"> </w:t>
      </w:r>
      <w:r w:rsidR="00CC3B62">
        <w:t>deteriorate ambient air quality, hazardous air pollutants, and emissions from certain specific sources of air pollution.”</w:t>
      </w:r>
      <w:r w:rsidR="00CC3B62">
        <w:rPr>
          <w:rStyle w:val="FootnoteReference"/>
        </w:rPr>
        <w:footnoteReference w:id="104"/>
      </w:r>
      <w:r w:rsidR="00CC3B62">
        <w:t xml:space="preserve"> </w:t>
      </w:r>
      <w:r w:rsidR="001D7519">
        <w:t>EPA is authorized to “</w:t>
      </w:r>
      <w:r w:rsidR="000B0FDA">
        <w:t>set</w:t>
      </w:r>
      <w:r w:rsidR="00D950BD">
        <w:t xml:space="preserve"> mobile source limits, </w:t>
      </w:r>
      <w:r w:rsidR="00923A2A" w:rsidRPr="00923A2A">
        <w:t xml:space="preserve">ambient air quality standards, hazardous air pollutant emission standards, </w:t>
      </w:r>
      <w:r w:rsidR="00D9705C">
        <w:t xml:space="preserve">[and] </w:t>
      </w:r>
      <w:r w:rsidR="00923A2A" w:rsidRPr="00923A2A">
        <w:t xml:space="preserve">standards for new pollution </w:t>
      </w:r>
      <w:proofErr w:type="gramStart"/>
      <w:r w:rsidR="00923A2A" w:rsidRPr="00923A2A">
        <w:t>sources</w:t>
      </w:r>
      <w:r w:rsidR="00D9705C">
        <w:t>.</w:t>
      </w:r>
      <w:proofErr w:type="gramEnd"/>
      <w:r w:rsidR="00D9705C">
        <w:t xml:space="preserve"> . . .”</w:t>
      </w:r>
      <w:r w:rsidR="00D9705C">
        <w:rPr>
          <w:rStyle w:val="FootnoteReference"/>
        </w:rPr>
        <w:footnoteReference w:id="105"/>
      </w:r>
      <w:r w:rsidR="00D9705C">
        <w:t xml:space="preserve"> EPA</w:t>
      </w:r>
      <w:r w:rsidR="001D7519">
        <w:t xml:space="preserve"> is also authorized</w:t>
      </w:r>
      <w:r w:rsidR="00D9705C">
        <w:t xml:space="preserve"> “</w:t>
      </w:r>
      <w:r w:rsidR="00923A2A" w:rsidRPr="00923A2A">
        <w:t>to identify areas that do not attain federal ambient air quality standards set under the act</w:t>
      </w:r>
      <w:r w:rsidR="000B0FDA">
        <w:t xml:space="preserve"> . . . and</w:t>
      </w:r>
      <w:r w:rsidR="00923A2A" w:rsidRPr="00923A2A">
        <w:t xml:space="preserve"> phase out substances that deplete the Earth’s stratosphe</w:t>
      </w:r>
      <w:r w:rsidR="000B0FDA">
        <w:t>ric ozone layer.”</w:t>
      </w:r>
      <w:r w:rsidR="00AC7B15">
        <w:rPr>
          <w:rStyle w:val="FootnoteReference"/>
        </w:rPr>
        <w:footnoteReference w:id="106"/>
      </w:r>
      <w:r w:rsidR="00011233">
        <w:t xml:space="preserve"> The goal of the CAA is to prevent ambient air emissions from harming the environment and</w:t>
      </w:r>
      <w:r w:rsidR="007C4719">
        <w:t xml:space="preserve"> public health.</w:t>
      </w:r>
      <w:r w:rsidR="00011233">
        <w:rPr>
          <w:rStyle w:val="FootnoteReference"/>
        </w:rPr>
        <w:footnoteReference w:id="107"/>
      </w:r>
    </w:p>
    <w:p w14:paraId="491D3133" w14:textId="4DBA907B" w:rsidR="00142111" w:rsidRDefault="00142111" w:rsidP="000B0FDA">
      <w:pPr>
        <w:spacing w:line="480" w:lineRule="auto"/>
        <w:jc w:val="both"/>
      </w:pPr>
      <w:r>
        <w:tab/>
      </w:r>
      <w:r w:rsidR="00164D43">
        <w:t xml:space="preserve">Under the CAA, EPA </w:t>
      </w:r>
      <w:r w:rsidR="00FC6CB1">
        <w:t>must set</w:t>
      </w:r>
      <w:r w:rsidR="00164D43">
        <w:t xml:space="preserve"> minimum national standards for air quality</w:t>
      </w:r>
      <w:r w:rsidR="00EE5376">
        <w:t xml:space="preserve">, or </w:t>
      </w:r>
      <w:r w:rsidR="00A804A4">
        <w:t>National Ambient Air Quality</w:t>
      </w:r>
      <w:r w:rsidR="00EE5376">
        <w:t xml:space="preserve"> Standards (NAAQS)</w:t>
      </w:r>
      <w:r w:rsidR="00164D43">
        <w:t xml:space="preserve">, but the states are primarily responsible for ensuring compliance with </w:t>
      </w:r>
      <w:r w:rsidR="00EE5376">
        <w:t>NAAQS</w:t>
      </w:r>
      <w:r w:rsidR="00164D43">
        <w:t>.</w:t>
      </w:r>
      <w:r w:rsidR="00164D43">
        <w:rPr>
          <w:rStyle w:val="FootnoteReference"/>
        </w:rPr>
        <w:footnoteReference w:id="108"/>
      </w:r>
      <w:r w:rsidR="00164D43">
        <w:t xml:space="preserve"> </w:t>
      </w:r>
      <w:r w:rsidR="00516941">
        <w:t xml:space="preserve">Areas that are struggling to meet </w:t>
      </w:r>
      <w:r w:rsidR="00EE5376">
        <w:t>NAAQS</w:t>
      </w:r>
      <w:r w:rsidR="00516941">
        <w:t xml:space="preserve">, </w:t>
      </w:r>
      <w:r w:rsidR="00FC6CB1">
        <w:t xml:space="preserve">called </w:t>
      </w:r>
      <w:r w:rsidR="00516941">
        <w:t>“nonattainment areas,” must implement special measures to control air pollution.</w:t>
      </w:r>
      <w:r w:rsidR="00516941">
        <w:rPr>
          <w:rStyle w:val="FootnoteReference"/>
        </w:rPr>
        <w:footnoteReference w:id="109"/>
      </w:r>
      <w:r w:rsidR="00B36FE1">
        <w:t xml:space="preserve"> The CAA also creates a comprehensive permit system that applies to major sources of air pollution</w:t>
      </w:r>
      <w:r w:rsidR="00521F9E">
        <w:t>, which are those sources emitting more than 100 tons of regulated pollutants each year</w:t>
      </w:r>
      <w:r w:rsidR="00B36FE1">
        <w:t>.</w:t>
      </w:r>
      <w:r w:rsidR="00B36FE1">
        <w:rPr>
          <w:rStyle w:val="FootnoteReference"/>
        </w:rPr>
        <w:footnoteReference w:id="110"/>
      </w:r>
    </w:p>
    <w:p w14:paraId="78C43182" w14:textId="621CA33E" w:rsidR="0088398C" w:rsidRDefault="00113066" w:rsidP="000B0FDA">
      <w:pPr>
        <w:spacing w:line="480" w:lineRule="auto"/>
        <w:jc w:val="both"/>
      </w:pPr>
      <w:r>
        <w:tab/>
      </w:r>
      <w:r w:rsidR="00F5542E">
        <w:t>The CAA applies to CAFOs in theory.</w:t>
      </w:r>
      <w:r w:rsidR="00D01F8B">
        <w:rPr>
          <w:rStyle w:val="FootnoteReference"/>
        </w:rPr>
        <w:footnoteReference w:id="111"/>
      </w:r>
      <w:r w:rsidR="00F5542E">
        <w:t xml:space="preserve"> </w:t>
      </w:r>
      <w:r>
        <w:t>But</w:t>
      </w:r>
      <w:r w:rsidR="00F5542E">
        <w:t xml:space="preserve"> in reality,</w:t>
      </w:r>
      <w:r>
        <w:t xml:space="preserve"> the CAA still fails to prevent CAFOs from polluting the air.</w:t>
      </w:r>
      <w:r w:rsidR="00A804A4">
        <w:t xml:space="preserve"> </w:t>
      </w:r>
      <w:r w:rsidR="006F3566">
        <w:t>First, “air emissions from farms typically do not exceed thresholds specified in the Clean Air Act . . . and thus generally escape most CAA regulatory programs.”</w:t>
      </w:r>
      <w:r w:rsidR="006F3566">
        <w:rPr>
          <w:rStyle w:val="FootnoteReference"/>
        </w:rPr>
        <w:footnoteReference w:id="112"/>
      </w:r>
      <w:r w:rsidR="006F3566">
        <w:t xml:space="preserve"> </w:t>
      </w:r>
      <w:r w:rsidR="00216FB4">
        <w:t>Second, regulators at both the federal and</w:t>
      </w:r>
      <w:r w:rsidR="0088398C">
        <w:t xml:space="preserve"> state levels have been lax in</w:t>
      </w:r>
      <w:r w:rsidR="00216FB4">
        <w:t xml:space="preserve"> enforcing the CAA (and other environmental laws) against CAFOs. Instead, regulators “</w:t>
      </w:r>
      <w:r w:rsidR="00216FB4" w:rsidRPr="00216FB4">
        <w:t>traditionally focused most effort on controlling the largest and most visible sources of pollution to the water, air, and land—factories, waste treatment plants, motor vehicles—rather than smaller and more d</w:t>
      </w:r>
      <w:r w:rsidR="00216FB4">
        <w:t>ispersed sources such as farms.”</w:t>
      </w:r>
      <w:r w:rsidR="00216FB4">
        <w:rPr>
          <w:rStyle w:val="FootnoteReference"/>
        </w:rPr>
        <w:footnoteReference w:id="113"/>
      </w:r>
      <w:r w:rsidR="00214DB1">
        <w:t xml:space="preserve"> Third, the CAA Mandatory Greenhouse Gas (GHG) Reporting Rule</w:t>
      </w:r>
      <w:r w:rsidR="00C9211A">
        <w:rPr>
          <w:rStyle w:val="FootnoteReference"/>
        </w:rPr>
        <w:footnoteReference w:id="114"/>
      </w:r>
      <w:r w:rsidR="00214DB1">
        <w:t xml:space="preserve"> addresses manure manag</w:t>
      </w:r>
      <w:r w:rsidR="001D12F4">
        <w:t xml:space="preserve">ement systems, but Congress </w:t>
      </w:r>
      <w:r w:rsidR="00214DB1">
        <w:t>barred EPA from using funds to implement mandatory GHG reporting for manure management facilities.</w:t>
      </w:r>
      <w:r w:rsidR="00214DB1">
        <w:rPr>
          <w:rStyle w:val="FootnoteReference"/>
        </w:rPr>
        <w:footnoteReference w:id="115"/>
      </w:r>
      <w:r w:rsidR="00214DB1">
        <w:t xml:space="preserve"> Fourth</w:t>
      </w:r>
      <w:r w:rsidR="0039310C">
        <w:t>, there is a dearth of data</w:t>
      </w:r>
      <w:r w:rsidR="001762E5">
        <w:t>.</w:t>
      </w:r>
      <w:r w:rsidR="0088398C">
        <w:rPr>
          <w:rStyle w:val="FootnoteReference"/>
        </w:rPr>
        <w:footnoteReference w:id="116"/>
      </w:r>
      <w:r w:rsidR="001762E5">
        <w:t xml:space="preserve"> The CAA “requires accurate measurement of emissions to determine whether [CAFOs] emit regulated pollutants in quantities that exceed specified thresholds.”</w:t>
      </w:r>
      <w:r w:rsidR="001762E5">
        <w:rPr>
          <w:rStyle w:val="FootnoteReference"/>
        </w:rPr>
        <w:footnoteReference w:id="117"/>
      </w:r>
      <w:r w:rsidR="001762E5">
        <w:t xml:space="preserve"> </w:t>
      </w:r>
    </w:p>
    <w:p w14:paraId="78E5F26D" w14:textId="1FD80086" w:rsidR="00240D99" w:rsidRDefault="00240D99" w:rsidP="00240D99">
      <w:pPr>
        <w:spacing w:line="480" w:lineRule="auto"/>
        <w:ind w:firstLine="720"/>
        <w:jc w:val="both"/>
      </w:pPr>
      <w:r>
        <w:t>Citing a need for such data,</w:t>
      </w:r>
      <w:r w:rsidR="001762E5">
        <w:t xml:space="preserve"> EPA entered into an Air Compliance Agreement</w:t>
      </w:r>
      <w:r w:rsidR="000964CA">
        <w:rPr>
          <w:rStyle w:val="FootnoteReference"/>
        </w:rPr>
        <w:footnoteReference w:id="118"/>
      </w:r>
      <w:r w:rsidR="001762E5">
        <w:t xml:space="preserve"> with CAFO owner and operators.</w:t>
      </w:r>
      <w:r w:rsidR="001762E5">
        <w:rPr>
          <w:rStyle w:val="FootnoteReference"/>
        </w:rPr>
        <w:footnoteReference w:id="119"/>
      </w:r>
      <w:r w:rsidR="001762E5">
        <w:t xml:space="preserve"> </w:t>
      </w:r>
      <w:r w:rsidR="0088398C">
        <w:t>“</w:t>
      </w:r>
      <w:r w:rsidR="0088398C" w:rsidRPr="0088398C">
        <w:t xml:space="preserve">Early in 2002, representatives of some agriculture industry groups—especially pork and egg producers—approached EPA officials with a proposal to negotiate a voluntary agreement that would produce air quality monitoring data on emissions </w:t>
      </w:r>
      <w:r w:rsidR="0088398C">
        <w:t>from animal feedlot operations.”</w:t>
      </w:r>
      <w:r w:rsidR="0088398C">
        <w:rPr>
          <w:rStyle w:val="FootnoteReference"/>
        </w:rPr>
        <w:footnoteReference w:id="120"/>
      </w:r>
      <w:r w:rsidR="0088398C">
        <w:t xml:space="preserve"> In exchange for industry cooperation, EPA agreed to provide immunity for</w:t>
      </w:r>
      <w:r>
        <w:t xml:space="preserve"> past and ongoing violations of the CAA to</w:t>
      </w:r>
      <w:r w:rsidR="0088398C">
        <w:t xml:space="preserve"> all </w:t>
      </w:r>
      <w:r w:rsidR="00DC4172">
        <w:t xml:space="preserve">participating CAFOs. “EPA granted </w:t>
      </w:r>
      <w:r w:rsidR="00DC4172" w:rsidRPr="00DC4172">
        <w:t>covenants not to sue and released participants from EPA liability for failing to comply wit</w:t>
      </w:r>
      <w:r w:rsidR="00DC4172">
        <w:t>h certain provisions of the CAA.”</w:t>
      </w:r>
      <w:r w:rsidR="00DC4172">
        <w:rPr>
          <w:rStyle w:val="FootnoteReference"/>
        </w:rPr>
        <w:footnoteReference w:id="121"/>
      </w:r>
      <w:r w:rsidR="00D72F05">
        <w:t xml:space="preserve"> </w:t>
      </w:r>
      <w:r w:rsidR="00CD4D1F">
        <w:t xml:space="preserve">Critics of the agreement include environmental groups and state </w:t>
      </w:r>
      <w:r w:rsidR="00D72F05">
        <w:t xml:space="preserve">and local </w:t>
      </w:r>
      <w:r w:rsidR="00CD4D1F">
        <w:t>air quality officials, who were not included in the negotiation process</w:t>
      </w:r>
      <w:r w:rsidR="00D72F05">
        <w:t>.</w:t>
      </w:r>
      <w:r w:rsidR="00D72F05">
        <w:rPr>
          <w:rStyle w:val="FootnoteReference"/>
        </w:rPr>
        <w:footnoteReference w:id="122"/>
      </w:r>
      <w:r w:rsidR="009945C6">
        <w:t xml:space="preserve"> </w:t>
      </w:r>
    </w:p>
    <w:p w14:paraId="7E86F3CA" w14:textId="22E839F6" w:rsidR="00424191" w:rsidRDefault="009945C6" w:rsidP="00240D99">
      <w:pPr>
        <w:spacing w:line="480" w:lineRule="auto"/>
        <w:ind w:firstLine="720"/>
        <w:jc w:val="both"/>
      </w:pPr>
      <w:r>
        <w:t>More than 13,900 operations across 42 states signed up to participate in the agreement, including 1,856 pig operations.</w:t>
      </w:r>
      <w:r>
        <w:rPr>
          <w:rStyle w:val="FootnoteReference"/>
        </w:rPr>
        <w:footnoteReference w:id="123"/>
      </w:r>
      <w:r w:rsidR="002F7DFA">
        <w:t xml:space="preserve"> </w:t>
      </w:r>
      <w:r w:rsidR="00240D99">
        <w:t xml:space="preserve">After </w:t>
      </w:r>
      <w:r w:rsidR="002F7DFA">
        <w:t>EPA released the data gather</w:t>
      </w:r>
      <w:r w:rsidR="00240D99">
        <w:t>ed under the agreement in 2011, an</w:t>
      </w:r>
      <w:r w:rsidR="002F7DFA">
        <w:t xml:space="preserve"> Environmental Integrity Project analysis showed that</w:t>
      </w:r>
      <w:r w:rsidR="00424191">
        <w:t xml:space="preserve"> “</w:t>
      </w:r>
      <w:r w:rsidR="00424191" w:rsidRPr="00424191">
        <w:t>measure</w:t>
      </w:r>
      <w:r w:rsidR="00424191">
        <w:t>d levels of several pollutants—</w:t>
      </w:r>
      <w:r w:rsidR="00424191" w:rsidRPr="00424191">
        <w:t>particles, ammonia, and hydrogen sulfide—exceeded CAA health-based standards, worker protection standards, and federal emission reporting lim</w:t>
      </w:r>
      <w:r w:rsidR="00424191">
        <w:t>its at some of the study sites.”</w:t>
      </w:r>
      <w:r w:rsidR="00424191">
        <w:rPr>
          <w:rStyle w:val="FootnoteReference"/>
        </w:rPr>
        <w:footnoteReference w:id="124"/>
      </w:r>
      <w:r w:rsidR="00240D99">
        <w:t xml:space="preserve"> EPA’s methodologies have come under fire, however, since the study failed to include turkey operations, beef cattle operations, or </w:t>
      </w:r>
      <w:proofErr w:type="spellStart"/>
      <w:r w:rsidR="00240D99">
        <w:t>sprayfields</w:t>
      </w:r>
      <w:proofErr w:type="spellEnd"/>
      <w:r w:rsidR="00240D99">
        <w:t>, and collected data from a very small number of operations.</w:t>
      </w:r>
      <w:r w:rsidR="00240D99">
        <w:rPr>
          <w:rStyle w:val="FootnoteReference"/>
        </w:rPr>
        <w:footnoteReference w:id="125"/>
      </w:r>
      <w:r w:rsidR="00240D99">
        <w:t xml:space="preserve"> Years later, </w:t>
      </w:r>
      <w:r w:rsidR="00D60436">
        <w:t xml:space="preserve">after granting thousands of CAFOs immunity, </w:t>
      </w:r>
      <w:r w:rsidR="00240D99">
        <w:t xml:space="preserve">EPA still has not taken steps to use the data </w:t>
      </w:r>
      <w:r w:rsidR="00D16111">
        <w:t xml:space="preserve">collected </w:t>
      </w:r>
      <w:r w:rsidR="00240D99">
        <w:t xml:space="preserve">to </w:t>
      </w:r>
      <w:r w:rsidR="00FA1DFA">
        <w:t xml:space="preserve">better </w:t>
      </w:r>
      <w:r w:rsidR="00240D99">
        <w:t>regulate CAFOs</w:t>
      </w:r>
      <w:r w:rsidR="00FA1DFA">
        <w:t xml:space="preserve"> under the CAA</w:t>
      </w:r>
      <w:r w:rsidR="00240D99">
        <w:t>.</w:t>
      </w:r>
    </w:p>
    <w:p w14:paraId="76B3E252" w14:textId="3CE81BAD" w:rsidR="00F56FBD" w:rsidRDefault="00F56FBD" w:rsidP="00F56FBD">
      <w:pPr>
        <w:spacing w:line="480" w:lineRule="auto"/>
        <w:rPr>
          <w:b/>
          <w:i/>
        </w:rPr>
      </w:pPr>
      <w:r>
        <w:rPr>
          <w:b/>
          <w:i/>
        </w:rPr>
        <w:t>B.</w:t>
      </w:r>
      <w:r>
        <w:rPr>
          <w:b/>
          <w:i/>
        </w:rPr>
        <w:tab/>
      </w:r>
      <w:r w:rsidR="00163F89">
        <w:rPr>
          <w:b/>
          <w:i/>
        </w:rPr>
        <w:t>Hastening the Takeover: North Carolina Law</w:t>
      </w:r>
    </w:p>
    <w:p w14:paraId="76E18198" w14:textId="5DEFEFD1" w:rsidR="002D408F" w:rsidRPr="002D408F" w:rsidRDefault="002D408F" w:rsidP="002D408F">
      <w:pPr>
        <w:spacing w:line="480" w:lineRule="auto"/>
        <w:jc w:val="both"/>
      </w:pPr>
      <w:r>
        <w:rPr>
          <w:b/>
          <w:i/>
        </w:rPr>
        <w:tab/>
      </w:r>
      <w:r>
        <w:t>North Carolina law serves CAFO owners and operators in three main ways. First, the state has eviscerated nuisance a cause of action under its so-called “Right-to-Farm” law. Second, the state has passed an “</w:t>
      </w:r>
      <w:proofErr w:type="spellStart"/>
      <w:r>
        <w:t>ag</w:t>
      </w:r>
      <w:proofErr w:type="spellEnd"/>
      <w:r>
        <w:t>-gag” law intended to prevent the public from discovering the misconduct and illegal actions of CAFO owner and operators. Third, the state has lax environmental regulations of CAFOs.</w:t>
      </w:r>
    </w:p>
    <w:p w14:paraId="77C521CC" w14:textId="6CF56C07" w:rsidR="001656CB" w:rsidRPr="00F56FBD" w:rsidRDefault="00F56FBD" w:rsidP="006873ED">
      <w:pPr>
        <w:spacing w:line="480" w:lineRule="auto"/>
        <w:rPr>
          <w:b/>
        </w:rPr>
      </w:pPr>
      <w:r w:rsidRPr="00F56FBD">
        <w:rPr>
          <w:b/>
        </w:rPr>
        <w:t>1</w:t>
      </w:r>
      <w:r w:rsidR="001656CB" w:rsidRPr="00F56FBD">
        <w:rPr>
          <w:b/>
        </w:rPr>
        <w:t>.</w:t>
      </w:r>
      <w:r w:rsidR="001656CB" w:rsidRPr="00F56FBD">
        <w:rPr>
          <w:b/>
        </w:rPr>
        <w:tab/>
        <w:t xml:space="preserve">Insult to Injury: </w:t>
      </w:r>
      <w:r w:rsidR="00B26DDF" w:rsidRPr="00F56FBD">
        <w:rPr>
          <w:b/>
        </w:rPr>
        <w:t>The</w:t>
      </w:r>
      <w:r>
        <w:rPr>
          <w:b/>
        </w:rPr>
        <w:t xml:space="preserve"> North Carolina “Right-to-Farm” Law </w:t>
      </w:r>
    </w:p>
    <w:p w14:paraId="37AD9369" w14:textId="686293C1" w:rsidR="00BC6144" w:rsidRDefault="001D3018" w:rsidP="00AA4A77">
      <w:pPr>
        <w:spacing w:line="480" w:lineRule="auto"/>
        <w:jc w:val="both"/>
      </w:pPr>
      <w:r>
        <w:rPr>
          <w:b/>
          <w:i/>
        </w:rPr>
        <w:tab/>
      </w:r>
      <w:r w:rsidR="00D80964">
        <w:t xml:space="preserve">Property owners have been suing pig farmers for centuries. </w:t>
      </w:r>
      <w:r w:rsidR="002B41BF">
        <w:t xml:space="preserve">In </w:t>
      </w:r>
      <w:r w:rsidR="002B41BF" w:rsidRPr="00AA4A77">
        <w:rPr>
          <w:i/>
        </w:rPr>
        <w:t xml:space="preserve">William </w:t>
      </w:r>
      <w:proofErr w:type="spellStart"/>
      <w:r w:rsidR="002B41BF" w:rsidRPr="00AA4A77">
        <w:rPr>
          <w:i/>
        </w:rPr>
        <w:t>Aldred’s</w:t>
      </w:r>
      <w:proofErr w:type="spellEnd"/>
      <w:r w:rsidR="002B41BF" w:rsidRPr="00AA4A77">
        <w:rPr>
          <w:i/>
        </w:rPr>
        <w:t xml:space="preserve"> Case</w:t>
      </w:r>
      <w:r w:rsidR="002B41BF">
        <w:t>,</w:t>
      </w:r>
      <w:r w:rsidR="002B41BF">
        <w:rPr>
          <w:rStyle w:val="FootnoteReference"/>
        </w:rPr>
        <w:footnoteReference w:id="126"/>
      </w:r>
      <w:r w:rsidR="002B41BF">
        <w:t xml:space="preserve"> </w:t>
      </w:r>
      <w:r w:rsidR="00A0291D">
        <w:t>“</w:t>
      </w:r>
      <w:r w:rsidR="00A0291D" w:rsidRPr="00A0291D">
        <w:t>the Court of the King’s B</w:t>
      </w:r>
      <w:r w:rsidR="00A0291D">
        <w:t xml:space="preserve">ench recognized </w:t>
      </w:r>
      <w:r w:rsidR="00A0291D" w:rsidRPr="00A0291D">
        <w:t>[</w:t>
      </w:r>
      <w:proofErr w:type="gramStart"/>
      <w:r w:rsidR="00A0291D" w:rsidRPr="00A0291D">
        <w:t>a]n</w:t>
      </w:r>
      <w:proofErr w:type="gramEnd"/>
      <w:r w:rsidR="00A0291D" w:rsidRPr="00A0291D">
        <w:t xml:space="preserve"> action on the case lies for erecting a </w:t>
      </w:r>
      <w:proofErr w:type="spellStart"/>
      <w:r w:rsidR="00A0291D" w:rsidRPr="00A0291D">
        <w:t>hogstye</w:t>
      </w:r>
      <w:proofErr w:type="spellEnd"/>
      <w:r w:rsidR="00A0291D" w:rsidRPr="00A0291D">
        <w:t xml:space="preserve"> so near the house of the plaintiff that </w:t>
      </w:r>
      <w:r w:rsidR="00A0291D">
        <w:t>the air thereof was corrupted.’”</w:t>
      </w:r>
      <w:r w:rsidR="00A0291D">
        <w:rPr>
          <w:rStyle w:val="FootnoteReference"/>
        </w:rPr>
        <w:footnoteReference w:id="127"/>
      </w:r>
      <w:r w:rsidR="00AA4A77">
        <w:t xml:space="preserve"> </w:t>
      </w:r>
      <w:r w:rsidR="00076287">
        <w:t xml:space="preserve">Common law </w:t>
      </w:r>
      <w:r w:rsidR="00A86662">
        <w:t>nuisance theories</w:t>
      </w:r>
      <w:r w:rsidR="00076287">
        <w:t xml:space="preserve"> </w:t>
      </w:r>
      <w:r w:rsidR="00A86662">
        <w:t>remain</w:t>
      </w:r>
      <w:r w:rsidR="00AA4A77">
        <w:t xml:space="preserve"> an </w:t>
      </w:r>
      <w:r w:rsidR="00A86662">
        <w:t>essential</w:t>
      </w:r>
      <w:r w:rsidR="00AA4A77">
        <w:t xml:space="preserve"> tool</w:t>
      </w:r>
      <w:r w:rsidR="00076287">
        <w:t xml:space="preserve"> for</w:t>
      </w:r>
      <w:r w:rsidR="00AA4A77">
        <w:t xml:space="preserve"> </w:t>
      </w:r>
      <w:r w:rsidR="006A3569">
        <w:t xml:space="preserve">U.S. </w:t>
      </w:r>
      <w:r w:rsidR="00AA4A77">
        <w:t xml:space="preserve">property </w:t>
      </w:r>
      <w:r w:rsidR="00076287">
        <w:t>owners who seek to protect their right to enjoy their property</w:t>
      </w:r>
      <w:r w:rsidR="00A86662">
        <w:t xml:space="preserve">, even after </w:t>
      </w:r>
      <w:r w:rsidR="006A3569">
        <w:t>the development of complex environmental laws</w:t>
      </w:r>
      <w:r w:rsidR="00076287">
        <w:t>.</w:t>
      </w:r>
      <w:r w:rsidR="00076287">
        <w:rPr>
          <w:rStyle w:val="FootnoteReference"/>
        </w:rPr>
        <w:footnoteReference w:id="128"/>
      </w:r>
      <w:r w:rsidR="00D80964">
        <w:t xml:space="preserve"> But in North Carolina, nuisance suits against CAFOs </w:t>
      </w:r>
      <w:r w:rsidR="00732E81">
        <w:t>are</w:t>
      </w:r>
      <w:r w:rsidR="00DF7D8B">
        <w:t xml:space="preserve"> an option extinguished </w:t>
      </w:r>
      <w:r w:rsidR="004755D1">
        <w:t xml:space="preserve">and community members are left without legal remedy. </w:t>
      </w:r>
    </w:p>
    <w:p w14:paraId="0840FA9E" w14:textId="64B75766" w:rsidR="00623F95" w:rsidRDefault="00BC6144" w:rsidP="00BC6144">
      <w:pPr>
        <w:spacing w:line="480" w:lineRule="auto"/>
        <w:ind w:firstLine="720"/>
        <w:jc w:val="both"/>
      </w:pPr>
      <w:r>
        <w:t>North Carolina first enacted its</w:t>
      </w:r>
      <w:r w:rsidR="00D80964">
        <w:t xml:space="preserve"> so-called “right-to-farm”</w:t>
      </w:r>
      <w:r w:rsidR="00447F89">
        <w:t xml:space="preserve"> (RTF)</w:t>
      </w:r>
      <w:r w:rsidR="00D80964">
        <w:t xml:space="preserve"> law</w:t>
      </w:r>
      <w:r w:rsidR="00A075B3">
        <w:rPr>
          <w:rStyle w:val="FootnoteReference"/>
        </w:rPr>
        <w:footnoteReference w:id="129"/>
      </w:r>
      <w:r w:rsidR="00D80964">
        <w:t xml:space="preserve"> </w:t>
      </w:r>
      <w:r>
        <w:t>in 1979</w:t>
      </w:r>
      <w:r w:rsidR="00447F89">
        <w:t>.</w:t>
      </w:r>
      <w:r>
        <w:rPr>
          <w:rStyle w:val="FootnoteReference"/>
        </w:rPr>
        <w:footnoteReference w:id="130"/>
      </w:r>
      <w:r w:rsidR="00447F89">
        <w:t xml:space="preserve"> </w:t>
      </w:r>
      <w:r w:rsidR="00623F95">
        <w:t xml:space="preserve">That early version of the law created an affirmative </w:t>
      </w:r>
      <w:r w:rsidR="005C1B55">
        <w:t xml:space="preserve">“coming to the nuisance” </w:t>
      </w:r>
      <w:r w:rsidR="00623F95">
        <w:t xml:space="preserve">defense for </w:t>
      </w:r>
      <w:r w:rsidR="005965EB">
        <w:t>pre</w:t>
      </w:r>
      <w:r w:rsidR="0065539B">
        <w:t xml:space="preserve">existing </w:t>
      </w:r>
      <w:r w:rsidR="00623F95">
        <w:t>CAFO owner</w:t>
      </w:r>
      <w:r w:rsidR="00C92531">
        <w:t>s</w:t>
      </w:r>
      <w:r w:rsidR="00623F95">
        <w:t xml:space="preserve"> and operators</w:t>
      </w:r>
      <w:r w:rsidR="00125AD5">
        <w:t xml:space="preserve"> when they faced suits</w:t>
      </w:r>
      <w:r w:rsidR="0065539B">
        <w:t xml:space="preserve"> </w:t>
      </w:r>
      <w:r w:rsidR="00125AD5">
        <w:t>from</w:t>
      </w:r>
      <w:r w:rsidR="0065539B">
        <w:t xml:space="preserve"> community members who purchased property </w:t>
      </w:r>
      <w:r w:rsidR="00125AD5">
        <w:t xml:space="preserve">in the </w:t>
      </w:r>
      <w:r w:rsidR="0065539B">
        <w:t>CAFO</w:t>
      </w:r>
      <w:r w:rsidR="00C92531">
        <w:t>-occupied community</w:t>
      </w:r>
      <w:r w:rsidR="0065539B">
        <w:t>.</w:t>
      </w:r>
      <w:r w:rsidR="0065539B">
        <w:rPr>
          <w:rStyle w:val="FootnoteReference"/>
        </w:rPr>
        <w:footnoteReference w:id="131"/>
      </w:r>
      <w:r w:rsidR="0065539B">
        <w:t xml:space="preserve"> The rationale behind these laws was that the </w:t>
      </w:r>
      <w:r w:rsidR="00C92531">
        <w:t>CAFO was there first.</w:t>
      </w:r>
      <w:r w:rsidR="00C92531">
        <w:rPr>
          <w:rStyle w:val="FootnoteReference"/>
        </w:rPr>
        <w:footnoteReference w:id="132"/>
      </w:r>
      <w:r w:rsidR="00C36DD4">
        <w:t xml:space="preserve"> </w:t>
      </w:r>
    </w:p>
    <w:p w14:paraId="28CCA83D" w14:textId="60137AB4" w:rsidR="00EC08C6" w:rsidRDefault="00C36DD4" w:rsidP="00EC08C6">
      <w:pPr>
        <w:spacing w:line="480" w:lineRule="auto"/>
        <w:ind w:firstLine="720"/>
        <w:jc w:val="both"/>
      </w:pPr>
      <w:r>
        <w:t>In 2013, North Carolina’s RTF law became a “right-to-commit-nuisance” law</w:t>
      </w:r>
      <w:r w:rsidR="00C05E10">
        <w:t xml:space="preserve"> (RTCN)</w:t>
      </w:r>
      <w:r>
        <w:t>.</w:t>
      </w:r>
      <w:r>
        <w:rPr>
          <w:rStyle w:val="FootnoteReference"/>
        </w:rPr>
        <w:footnoteReference w:id="133"/>
      </w:r>
      <w:r w:rsidR="00EC08C6">
        <w:t xml:space="preserve"> </w:t>
      </w:r>
      <w:r w:rsidR="008C164F">
        <w:t>Now, a CAFO “</w:t>
      </w:r>
      <w:r w:rsidR="00EC08C6" w:rsidRPr="00EC08C6">
        <w:t>may raise an affirmative defense to liability in a nuisance action regardless of whether it had undergone a change in ownership, size, or type of product produced.</w:t>
      </w:r>
      <w:r w:rsidR="008C164F">
        <w:t xml:space="preserve"> </w:t>
      </w:r>
      <w:r w:rsidR="00EC08C6" w:rsidRPr="00EC08C6">
        <w:t>As a result, agricultural operations may be able to benefit from these protections regardless of whether the facility actually preceded its neighboring landowners.</w:t>
      </w:r>
      <w:r w:rsidR="008C164F">
        <w:t>”</w:t>
      </w:r>
      <w:r w:rsidR="008C164F">
        <w:rPr>
          <w:rStyle w:val="FootnoteReference"/>
        </w:rPr>
        <w:footnoteReference w:id="134"/>
      </w:r>
      <w:r w:rsidR="00C05E10">
        <w:t xml:space="preserve"> The RTCN </w:t>
      </w:r>
      <w:r w:rsidR="00C2239D">
        <w:t>amendments</w:t>
      </w:r>
      <w:r w:rsidR="00FF0B9E">
        <w:t xml:space="preserve"> </w:t>
      </w:r>
      <w:r w:rsidR="00C2239D">
        <w:t xml:space="preserve">followed close on the heels of </w:t>
      </w:r>
      <w:r w:rsidR="00625378">
        <w:t>lawsuits filed by</w:t>
      </w:r>
      <w:r w:rsidR="00C2239D">
        <w:t xml:space="preserve"> </w:t>
      </w:r>
      <w:r w:rsidR="005964B2">
        <w:t>hundreds of</w:t>
      </w:r>
      <w:r w:rsidR="00C2239D">
        <w:t xml:space="preserve"> community members against</w:t>
      </w:r>
      <w:r w:rsidR="004D6EDB">
        <w:t xml:space="preserve"> Murphy-Brown, LLC</w:t>
      </w:r>
      <w:r w:rsidR="004D6EDB" w:rsidRPr="00424191">
        <w:t>—</w:t>
      </w:r>
      <w:r w:rsidR="00C2239D">
        <w:t>a subsi</w:t>
      </w:r>
      <w:r w:rsidR="004D6EDB">
        <w:t>diary of Smithfield Foods, Inc.</w:t>
      </w:r>
      <w:r w:rsidR="004D6EDB" w:rsidRPr="00424191">
        <w:t>—</w:t>
      </w:r>
      <w:r w:rsidR="00C2239D">
        <w:t>for the operation of pig CAFOs in eastern North Carolina,</w:t>
      </w:r>
      <w:r w:rsidR="00FF0B9E" w:rsidRPr="00FF0B9E">
        <w:rPr>
          <w:rStyle w:val="FootnoteReference"/>
        </w:rPr>
        <w:t xml:space="preserve"> </w:t>
      </w:r>
      <w:r w:rsidR="00FF0B9E">
        <w:t>and will further disempower community members to fight the destruction of their homes and neighborhoods.</w:t>
      </w:r>
      <w:r w:rsidR="00C2239D">
        <w:rPr>
          <w:rStyle w:val="FootnoteReference"/>
        </w:rPr>
        <w:footnoteReference w:id="135"/>
      </w:r>
      <w:r w:rsidR="00C2239D">
        <w:t xml:space="preserve"> </w:t>
      </w:r>
    </w:p>
    <w:p w14:paraId="493411E2" w14:textId="33DD7D45" w:rsidR="005964B2" w:rsidRPr="00EC08C6" w:rsidRDefault="005964B2" w:rsidP="00ED04C3">
      <w:pPr>
        <w:spacing w:line="480" w:lineRule="auto"/>
        <w:ind w:firstLine="720"/>
        <w:jc w:val="both"/>
      </w:pPr>
      <w:r>
        <w:t>As of April 2017, the North Carolina legislature is attempting to push through yet another RTCN bill.</w:t>
      </w:r>
      <w:r>
        <w:rPr>
          <w:rStyle w:val="FootnoteReference"/>
        </w:rPr>
        <w:footnoteReference w:id="136"/>
      </w:r>
      <w:r>
        <w:t xml:space="preserve"> </w:t>
      </w:r>
      <w:r w:rsidR="00664142">
        <w:t>Current North Carolina law provides that, in nuisance cases, the jury determines the amount of compensatory damages.</w:t>
      </w:r>
      <w:r w:rsidR="00664142">
        <w:rPr>
          <w:rStyle w:val="FootnoteReference"/>
        </w:rPr>
        <w:footnoteReference w:id="137"/>
      </w:r>
      <w:r w:rsidR="00664142">
        <w:t xml:space="preserve"> </w:t>
      </w:r>
      <w:r w:rsidR="00ED04C3">
        <w:t>“The farms’</w:t>
      </w:r>
      <w:r w:rsidR="00ED04C3" w:rsidRPr="00ED04C3">
        <w:t xml:space="preserve"> liability would be limited to the lost rental or property value plaintiffs can prove was the result of the nuisance. The liability couldn't exceed a piece of property's market value.</w:t>
      </w:r>
      <w:r w:rsidR="00ED04C3">
        <w:t>”</w:t>
      </w:r>
      <w:r w:rsidR="00ED04C3" w:rsidRPr="00ED04C3">
        <w:t xml:space="preserve"> </w:t>
      </w:r>
      <w:r w:rsidR="00CD3725">
        <w:t>Thus, if</w:t>
      </w:r>
      <w:r w:rsidR="00ED04C3">
        <w:t xml:space="preserve"> successful, t</w:t>
      </w:r>
      <w:r>
        <w:t>hi</w:t>
      </w:r>
      <w:r w:rsidR="00615083">
        <w:t>s bill would limit any damages that a community member did manage to win against a CAFO owner or operator to the value of their property.</w:t>
      </w:r>
      <w:r w:rsidR="00615083">
        <w:rPr>
          <w:rStyle w:val="FootnoteReference"/>
        </w:rPr>
        <w:footnoteReference w:id="138"/>
      </w:r>
      <w:r w:rsidR="00615083">
        <w:t xml:space="preserve"> </w:t>
      </w:r>
    </w:p>
    <w:p w14:paraId="1A4BDF6E" w14:textId="47CFA678" w:rsidR="00753042" w:rsidRPr="00F56FBD" w:rsidRDefault="00F56FBD" w:rsidP="006873ED">
      <w:pPr>
        <w:spacing w:line="480" w:lineRule="auto"/>
        <w:rPr>
          <w:b/>
        </w:rPr>
      </w:pPr>
      <w:r w:rsidRPr="00F56FBD">
        <w:rPr>
          <w:b/>
        </w:rPr>
        <w:t>2</w:t>
      </w:r>
      <w:r w:rsidR="00753042" w:rsidRPr="00F56FBD">
        <w:rPr>
          <w:b/>
        </w:rPr>
        <w:t>.</w:t>
      </w:r>
      <w:r w:rsidR="00753042" w:rsidRPr="00F56FBD">
        <w:rPr>
          <w:b/>
        </w:rPr>
        <w:tab/>
      </w:r>
      <w:r w:rsidR="00AC7727" w:rsidRPr="00F56FBD">
        <w:rPr>
          <w:b/>
        </w:rPr>
        <w:t>Gagging</w:t>
      </w:r>
      <w:r w:rsidR="00856F1C" w:rsidRPr="00F56FBD">
        <w:rPr>
          <w:b/>
        </w:rPr>
        <w:t xml:space="preserve"> Whistleblowers</w:t>
      </w:r>
      <w:r w:rsidR="00753042" w:rsidRPr="00F56FBD">
        <w:rPr>
          <w:b/>
        </w:rPr>
        <w:t xml:space="preserve">: </w:t>
      </w:r>
      <w:r w:rsidR="00B26DDF" w:rsidRPr="00F56FBD">
        <w:rPr>
          <w:b/>
        </w:rPr>
        <w:t>The</w:t>
      </w:r>
      <w:r>
        <w:rPr>
          <w:b/>
        </w:rPr>
        <w:t xml:space="preserve"> North Carolina</w:t>
      </w:r>
      <w:r w:rsidR="00B26DDF" w:rsidRPr="00F56FBD">
        <w:rPr>
          <w:b/>
        </w:rPr>
        <w:t xml:space="preserve"> </w:t>
      </w:r>
      <w:r w:rsidR="00753042" w:rsidRPr="00F56FBD">
        <w:rPr>
          <w:b/>
        </w:rPr>
        <w:t>“</w:t>
      </w:r>
      <w:r w:rsidR="00B26DDF" w:rsidRPr="00F56FBD">
        <w:rPr>
          <w:b/>
        </w:rPr>
        <w:t>Ag-Gag Law</w:t>
      </w:r>
      <w:r w:rsidR="00753042" w:rsidRPr="00F56FBD">
        <w:rPr>
          <w:b/>
        </w:rPr>
        <w:t>”</w:t>
      </w:r>
      <w:r w:rsidR="00B26DDF" w:rsidRPr="00F56FBD">
        <w:rPr>
          <w:b/>
        </w:rPr>
        <w:t xml:space="preserve"> </w:t>
      </w:r>
      <w:r>
        <w:rPr>
          <w:b/>
        </w:rPr>
        <w:t xml:space="preserve"> </w:t>
      </w:r>
      <w:r w:rsidR="00B26DDF" w:rsidRPr="00F56FBD">
        <w:rPr>
          <w:b/>
        </w:rPr>
        <w:t xml:space="preserve"> </w:t>
      </w:r>
    </w:p>
    <w:p w14:paraId="1EB8C2DF" w14:textId="4650EE35" w:rsidR="00212C13" w:rsidRDefault="00FF0B9E" w:rsidP="00212C13">
      <w:pPr>
        <w:spacing w:line="480" w:lineRule="auto"/>
        <w:jc w:val="both"/>
      </w:pPr>
      <w:r>
        <w:rPr>
          <w:b/>
          <w:i/>
        </w:rPr>
        <w:tab/>
      </w:r>
      <w:r w:rsidR="00212C13">
        <w:t xml:space="preserve">Ag-gag </w:t>
      </w:r>
      <w:r w:rsidR="003E378A">
        <w:t>laws</w:t>
      </w:r>
      <w:r w:rsidR="00212C13">
        <w:t xml:space="preserve"> are designed to shield CAFOs from whistleblowers and reporters who seek to collect evidence of wrongdoing. “Ag-Gag bills were designed to place restraints on free speech by making it a crime to take photos or video on a factory farm without the written permission of the owner.”</w:t>
      </w:r>
      <w:r w:rsidR="00212C13">
        <w:rPr>
          <w:rStyle w:val="FootnoteReference"/>
        </w:rPr>
        <w:footnoteReference w:id="139"/>
      </w:r>
      <w:r w:rsidR="00212C13">
        <w:t xml:space="preserve"> </w:t>
      </w:r>
      <w:r w:rsidR="00CC2561">
        <w:t>These laws are harmful to the public because they thwart undercover investigations that reveal dangerous and abhorrent activity such as animal abuse, environmental crimes, and food safety risks that could sicken millions.</w:t>
      </w:r>
      <w:r w:rsidR="00CC2561">
        <w:rPr>
          <w:rStyle w:val="FootnoteReference"/>
        </w:rPr>
        <w:footnoteReference w:id="140"/>
      </w:r>
      <w:r w:rsidR="00CC2561">
        <w:t xml:space="preserve"> </w:t>
      </w:r>
      <w:r w:rsidR="003E378A">
        <w:t xml:space="preserve">Without the investigations that </w:t>
      </w:r>
      <w:proofErr w:type="spellStart"/>
      <w:r w:rsidR="003E378A">
        <w:t>ag</w:t>
      </w:r>
      <w:proofErr w:type="spellEnd"/>
      <w:r w:rsidR="003E378A">
        <w:t>-gag laws seek to prevent, the public may not discover such information until the damage is already done.</w:t>
      </w:r>
    </w:p>
    <w:p w14:paraId="5B22B807" w14:textId="1C9476D7" w:rsidR="00785068" w:rsidRPr="005C4420" w:rsidRDefault="003E378A" w:rsidP="005C4420">
      <w:pPr>
        <w:spacing w:line="480" w:lineRule="auto"/>
        <w:ind w:firstLine="720"/>
        <w:jc w:val="both"/>
      </w:pPr>
      <w:r>
        <w:t xml:space="preserve">Nonetheless, </w:t>
      </w:r>
      <w:proofErr w:type="spellStart"/>
      <w:r>
        <w:t>ag</w:t>
      </w:r>
      <w:proofErr w:type="spellEnd"/>
      <w:r>
        <w:t>-gag legislation is sweeping the nation.</w:t>
      </w:r>
      <w:r>
        <w:rPr>
          <w:rStyle w:val="FootnoteReference"/>
        </w:rPr>
        <w:footnoteReference w:id="141"/>
      </w:r>
      <w:r>
        <w:t xml:space="preserve"> </w:t>
      </w:r>
      <w:r w:rsidR="00A92893">
        <w:t xml:space="preserve">On January 1, 2016, North Carolina’s </w:t>
      </w:r>
      <w:proofErr w:type="spellStart"/>
      <w:r w:rsidR="00A92893">
        <w:t>ag</w:t>
      </w:r>
      <w:proofErr w:type="spellEnd"/>
      <w:r w:rsidR="00A92893">
        <w:t>-gag law</w:t>
      </w:r>
      <w:r w:rsidR="00A92893">
        <w:rPr>
          <w:rStyle w:val="FootnoteReference"/>
        </w:rPr>
        <w:footnoteReference w:id="142"/>
      </w:r>
      <w:r w:rsidR="00212C13">
        <w:t xml:space="preserve"> </w:t>
      </w:r>
      <w:r w:rsidR="00A92893">
        <w:t>went into effect.</w:t>
      </w:r>
      <w:r w:rsidR="00A92893">
        <w:rPr>
          <w:rStyle w:val="FootnoteReference"/>
        </w:rPr>
        <w:footnoteReference w:id="143"/>
      </w:r>
      <w:r w:rsidR="00A92893">
        <w:t xml:space="preserve"> </w:t>
      </w:r>
      <w:r w:rsidR="00985BF5">
        <w:t xml:space="preserve">This law is even broader than most </w:t>
      </w:r>
      <w:proofErr w:type="spellStart"/>
      <w:r w:rsidR="00985BF5">
        <w:t>ag</w:t>
      </w:r>
      <w:proofErr w:type="spellEnd"/>
      <w:r w:rsidR="00985BF5">
        <w:t>-gag laws</w:t>
      </w:r>
      <w:r w:rsidR="00A7369E">
        <w:t>. “</w:t>
      </w:r>
      <w:r w:rsidR="00A7369E" w:rsidRPr="00A7369E">
        <w:t xml:space="preserve">The law provides for a civil cause of action against whistleblowers who seek to inform the public about matters of public concern </w:t>
      </w:r>
      <w:r w:rsidR="00A7369E" w:rsidRPr="009A657C">
        <w:rPr>
          <w:i/>
        </w:rPr>
        <w:t>in their workplace</w:t>
      </w:r>
      <w:r w:rsidR="00A7369E" w:rsidRPr="00A7369E">
        <w:t>. This law will deter whistleblowers in facilities like nursing homes, hospitals, day cares, schools, and animal agriculture from reporting concerning or illegal conduct.</w:t>
      </w:r>
      <w:r w:rsidR="00A7369E">
        <w:t>”</w:t>
      </w:r>
      <w:r w:rsidR="00A7369E">
        <w:rPr>
          <w:rStyle w:val="FootnoteReference"/>
        </w:rPr>
        <w:footnoteReference w:id="144"/>
      </w:r>
      <w:r w:rsidR="009A657C">
        <w:t xml:space="preserve"> </w:t>
      </w:r>
      <w:r w:rsidR="00B24319">
        <w:t>Organizations, journalists, and employees who conduct undercover investigations of CAFOs and release evidence of wrongdoing to the public or to the press will be liable and could face civil suit and damages.</w:t>
      </w:r>
      <w:r w:rsidR="00B24319">
        <w:rPr>
          <w:rStyle w:val="FootnoteReference"/>
        </w:rPr>
        <w:footnoteReference w:id="145"/>
      </w:r>
      <w:r w:rsidR="000075E6">
        <w:t xml:space="preserve"> This </w:t>
      </w:r>
      <w:r w:rsidR="00303279">
        <w:t>law shrouds CAFOs in secrecy, making it</w:t>
      </w:r>
      <w:r w:rsidR="000075E6">
        <w:t xml:space="preserve"> difficult for community members to discover any wrongdoing that CAFO owners and operators are committing in their backyards.</w:t>
      </w:r>
    </w:p>
    <w:p w14:paraId="26ED8C59" w14:textId="703919AA" w:rsidR="00F56FBD" w:rsidRDefault="00F56FBD" w:rsidP="00F56FBD">
      <w:pPr>
        <w:spacing w:line="480" w:lineRule="auto"/>
        <w:jc w:val="both"/>
        <w:rPr>
          <w:b/>
        </w:rPr>
      </w:pPr>
      <w:r w:rsidRPr="00615083">
        <w:rPr>
          <w:b/>
        </w:rPr>
        <w:t>3.</w:t>
      </w:r>
      <w:r w:rsidRPr="00615083">
        <w:rPr>
          <w:b/>
        </w:rPr>
        <w:tab/>
        <w:t xml:space="preserve">North Carolina </w:t>
      </w:r>
      <w:r w:rsidR="002049F7" w:rsidRPr="00615083">
        <w:rPr>
          <w:b/>
        </w:rPr>
        <w:t>Regulations: Failing to Protect Communities</w:t>
      </w:r>
      <w:r w:rsidR="002049F7">
        <w:rPr>
          <w:b/>
        </w:rPr>
        <w:t xml:space="preserve"> </w:t>
      </w:r>
    </w:p>
    <w:p w14:paraId="2A911FD2" w14:textId="2D0C38FE" w:rsidR="000C79E3" w:rsidRDefault="002049F7" w:rsidP="00F56FBD">
      <w:pPr>
        <w:spacing w:line="480" w:lineRule="auto"/>
        <w:jc w:val="both"/>
      </w:pPr>
      <w:r>
        <w:rPr>
          <w:b/>
        </w:rPr>
        <w:tab/>
      </w:r>
      <w:r w:rsidR="000C79E3">
        <w:t>In the 1980s, a pig farmer turned state senator</w:t>
      </w:r>
      <w:r w:rsidR="00372461">
        <w:t xml:space="preserve"> named Wendell Murphy</w:t>
      </w:r>
      <w:r w:rsidR="000C79E3">
        <w:t>, set out t</w:t>
      </w:r>
      <w:r w:rsidR="006B6578">
        <w:t>o vertically integrate pig farming</w:t>
      </w:r>
      <w:r w:rsidR="000C79E3">
        <w:t xml:space="preserve"> in North Carolina.</w:t>
      </w:r>
      <w:r w:rsidR="000C79E3">
        <w:rPr>
          <w:rStyle w:val="FootnoteReference"/>
        </w:rPr>
        <w:footnoteReference w:id="146"/>
      </w:r>
      <w:r w:rsidR="00372461">
        <w:t xml:space="preserve"> </w:t>
      </w:r>
      <w:r w:rsidR="00305FEA">
        <w:t>He aimed to pass state laws that would incubate the pig CAFO industry and stymie environmental regulation.</w:t>
      </w:r>
      <w:r w:rsidR="00305FEA">
        <w:rPr>
          <w:rStyle w:val="FootnoteReference"/>
        </w:rPr>
        <w:footnoteReference w:id="147"/>
      </w:r>
      <w:r w:rsidR="00305FEA">
        <w:t xml:space="preserve"> </w:t>
      </w:r>
    </w:p>
    <w:p w14:paraId="55B30DE6" w14:textId="370A188D" w:rsidR="00305FEA" w:rsidRDefault="00305FEA" w:rsidP="00305FEA">
      <w:pPr>
        <w:ind w:left="1440" w:right="1440"/>
        <w:jc w:val="both"/>
        <w:rPr>
          <w:rFonts w:eastAsia="Times New Roman" w:cs="Times New Roman"/>
        </w:rPr>
      </w:pPr>
      <w:r>
        <w:rPr>
          <w:rFonts w:eastAsia="Times New Roman" w:cs="Times New Roman"/>
        </w:rPr>
        <w:t>In 1986, Murphy helped pass a bill that eliminated the sales tax on hog and poultry houses; in 1987, the sales tax was waived on any equipment related to the CAFO industry. In 1991, county managers from four of the state's largest hog counties considered imposing regulations on the hog industry. Instead, Murphy cosponsored a bill that prohibited them from passing such zoning ordinances. When the bill passed, CAFO facilities were protected like traditional family farms.</w:t>
      </w:r>
      <w:r>
        <w:rPr>
          <w:rStyle w:val="FootnoteReference"/>
          <w:rFonts w:eastAsia="Times New Roman" w:cs="Times New Roman"/>
        </w:rPr>
        <w:footnoteReference w:id="148"/>
      </w:r>
      <w:r>
        <w:rPr>
          <w:rFonts w:eastAsia="Times New Roman" w:cs="Times New Roman"/>
        </w:rPr>
        <w:t> </w:t>
      </w:r>
    </w:p>
    <w:p w14:paraId="0E590A32" w14:textId="77777777" w:rsidR="00305FEA" w:rsidRPr="000C79E3" w:rsidRDefault="00305FEA" w:rsidP="00305FEA">
      <w:pPr>
        <w:ind w:left="1440" w:right="1440"/>
        <w:jc w:val="both"/>
      </w:pPr>
    </w:p>
    <w:p w14:paraId="50E36409" w14:textId="59487F83" w:rsidR="00305FEA" w:rsidRDefault="00305FEA" w:rsidP="00305FEA">
      <w:pPr>
        <w:spacing w:line="480" w:lineRule="auto"/>
        <w:jc w:val="both"/>
      </w:pPr>
      <w:r>
        <w:t>These laws explain why</w:t>
      </w:r>
      <w:r w:rsidR="006B6578">
        <w:t>, though</w:t>
      </w:r>
      <w:r>
        <w:t xml:space="preserve"> there were 22,000 pig farmers raising 2 million pigs in North Carolina thirty</w:t>
      </w:r>
      <w:r w:rsidR="006B6578">
        <w:t xml:space="preserve"> years ago, </w:t>
      </w:r>
      <w:r>
        <w:t>today there are only 2,300 farmers raising 9 million pigs.</w:t>
      </w:r>
      <w:r>
        <w:rPr>
          <w:rStyle w:val="FootnoteReference"/>
        </w:rPr>
        <w:footnoteReference w:id="149"/>
      </w:r>
      <w:r>
        <w:t xml:space="preserve"> </w:t>
      </w:r>
      <w:r w:rsidR="006B6578">
        <w:t>WH Group, a Chinese corporation</w:t>
      </w:r>
      <w:r w:rsidR="00EC7E6E">
        <w:t xml:space="preserve"> that bought out Smithfield Foods in 2013</w:t>
      </w:r>
      <w:r w:rsidR="006B6578">
        <w:t xml:space="preserve">, is </w:t>
      </w:r>
      <w:r w:rsidR="00561C53">
        <w:t xml:space="preserve">now </w:t>
      </w:r>
      <w:r w:rsidR="006B6578">
        <w:t>the dominant corporation beh</w:t>
      </w:r>
      <w:r w:rsidR="00EC7E6E">
        <w:t>ind pig CAFOs in North Carolina</w:t>
      </w:r>
      <w:r w:rsidR="006B6578">
        <w:t>.</w:t>
      </w:r>
      <w:r w:rsidR="006B6578">
        <w:rPr>
          <w:rStyle w:val="FootnoteReference"/>
        </w:rPr>
        <w:footnoteReference w:id="150"/>
      </w:r>
    </w:p>
    <w:p w14:paraId="5C85BB67" w14:textId="1C7E8EFD" w:rsidR="0083446A" w:rsidRDefault="00F111CE" w:rsidP="000C79E3">
      <w:pPr>
        <w:spacing w:line="480" w:lineRule="auto"/>
        <w:ind w:firstLine="720"/>
        <w:jc w:val="both"/>
      </w:pPr>
      <w:r>
        <w:t>The North Carolina Department of</w:t>
      </w:r>
      <w:r w:rsidR="00576FEC">
        <w:t xml:space="preserve"> Environmental Quality (</w:t>
      </w:r>
      <w:r w:rsidR="00071B6A">
        <w:t>DEQ) regulates</w:t>
      </w:r>
      <w:r>
        <w:t xml:space="preserve"> the state’s </w:t>
      </w:r>
      <w:r w:rsidR="00071B6A">
        <w:t>Animal Feeding Operations</w:t>
      </w:r>
      <w:r w:rsidR="00992722">
        <w:t xml:space="preserve"> (AFOs)</w:t>
      </w:r>
      <w:r w:rsidR="00071B6A">
        <w:t>, which are defined such that they include pig operations</w:t>
      </w:r>
      <w:r w:rsidR="0091143F">
        <w:t xml:space="preserve"> with 1)</w:t>
      </w:r>
      <w:r w:rsidR="00071B6A">
        <w:t xml:space="preserve"> at least 250 pigs</w:t>
      </w:r>
      <w:r w:rsidR="00274B79">
        <w:t xml:space="preserve"> and </w:t>
      </w:r>
      <w:r w:rsidR="0091143F">
        <w:t xml:space="preserve">2) </w:t>
      </w:r>
      <w:r w:rsidR="00274B79">
        <w:t>a liquid</w:t>
      </w:r>
      <w:r w:rsidR="0091143F">
        <w:t xml:space="preserve"> animal</w:t>
      </w:r>
      <w:r w:rsidR="00274B79">
        <w:t xml:space="preserve"> waste management system</w:t>
      </w:r>
      <w:r w:rsidR="00071B6A">
        <w:t>.</w:t>
      </w:r>
      <w:r w:rsidR="00071B6A">
        <w:rPr>
          <w:rStyle w:val="FootnoteReference"/>
        </w:rPr>
        <w:footnoteReference w:id="151"/>
      </w:r>
      <w:r w:rsidR="00576FEC">
        <w:t xml:space="preserve"> DEQ has also been responsible for “establish[</w:t>
      </w:r>
      <w:proofErr w:type="spellStart"/>
      <w:r w:rsidR="00576FEC">
        <w:t>ing</w:t>
      </w:r>
      <w:proofErr w:type="spellEnd"/>
      <w:r w:rsidR="00576FEC">
        <w:t>] siting requirements for application setbacks from property boundaries and perennial streams since 1992.”</w:t>
      </w:r>
      <w:r w:rsidR="00576FEC">
        <w:rPr>
          <w:rStyle w:val="FootnoteReference"/>
        </w:rPr>
        <w:footnoteReference w:id="152"/>
      </w:r>
      <w:r w:rsidR="00934262">
        <w:t xml:space="preserve"> </w:t>
      </w:r>
      <w:r w:rsidR="00992722">
        <w:t xml:space="preserve">Almost all permitted pig CAFOs </w:t>
      </w:r>
      <w:r w:rsidR="006935C9">
        <w:t>are subject to the regulations of</w:t>
      </w:r>
      <w:r w:rsidR="00992722">
        <w:t xml:space="preserve"> the North Carolina Swine Waste Management System General Permit</w:t>
      </w:r>
      <w:r w:rsidR="00277724">
        <w:t xml:space="preserve"> (General Permit)</w:t>
      </w:r>
      <w:r w:rsidR="00992722">
        <w:t xml:space="preserve">, which contains </w:t>
      </w:r>
      <w:r w:rsidR="007D089F">
        <w:t>requirements regarding operation and maintenance, monitoring and reporting, inspections, performance standards, general conditions, and penalties.</w:t>
      </w:r>
      <w:r w:rsidR="007D089F">
        <w:rPr>
          <w:rStyle w:val="FootnoteReference"/>
        </w:rPr>
        <w:footnoteReference w:id="153"/>
      </w:r>
      <w:r w:rsidR="00277724">
        <w:t xml:space="preserve"> The substance of the General Permit comes up for revision every five years, and was renewed in 2014 “following extensive public involvement.”</w:t>
      </w:r>
      <w:r w:rsidR="00277724">
        <w:rPr>
          <w:rStyle w:val="FootnoteReference"/>
        </w:rPr>
        <w:footnoteReference w:id="154"/>
      </w:r>
    </w:p>
    <w:p w14:paraId="5613F845" w14:textId="4978F81A" w:rsidR="0083446A" w:rsidRDefault="0083446A" w:rsidP="00393732">
      <w:pPr>
        <w:spacing w:line="480" w:lineRule="auto"/>
        <w:jc w:val="both"/>
      </w:pPr>
      <w:r>
        <w:tab/>
      </w:r>
      <w:r w:rsidR="00393732">
        <w:t>DEQ only agreed to regulate CAFOs after the disastrous lagoon breach of 1995, which dumped more than 20 million gallons of waste into the New River.</w:t>
      </w:r>
      <w:r w:rsidR="00393732">
        <w:rPr>
          <w:rStyle w:val="FootnoteReference"/>
        </w:rPr>
        <w:footnoteReference w:id="155"/>
      </w:r>
      <w:r w:rsidR="00393732">
        <w:t xml:space="preserve"> </w:t>
      </w:r>
      <w:r w:rsidR="00551B7C">
        <w:t>I</w:t>
      </w:r>
      <w:r w:rsidR="005226F4">
        <w:t>n 1997</w:t>
      </w:r>
      <w:r w:rsidR="00551B7C">
        <w:t>,</w:t>
      </w:r>
      <w:r w:rsidR="005226F4">
        <w:t xml:space="preserve"> North Carolina instituted a moratorium on new </w:t>
      </w:r>
      <w:r w:rsidR="00B71809">
        <w:t xml:space="preserve">and expanded pig </w:t>
      </w:r>
      <w:r w:rsidR="005226F4">
        <w:t>CAFOs</w:t>
      </w:r>
      <w:r w:rsidR="00393732">
        <w:t xml:space="preserve"> as a result of the disaster</w:t>
      </w:r>
      <w:r w:rsidR="00B71809">
        <w:t>.</w:t>
      </w:r>
      <w:r w:rsidR="005226F4">
        <w:rPr>
          <w:rStyle w:val="FootnoteReference"/>
        </w:rPr>
        <w:footnoteReference w:id="156"/>
      </w:r>
      <w:r w:rsidR="005226F4">
        <w:t xml:space="preserve"> This moratorium became permanent in 2007</w:t>
      </w:r>
      <w:r w:rsidR="00B71809">
        <w:t xml:space="preserve"> with regard to CAFOs using</w:t>
      </w:r>
      <w:r w:rsidR="000E327F">
        <w:t xml:space="preserve"> or proposing</w:t>
      </w:r>
      <w:r w:rsidR="00B71809">
        <w:t xml:space="preserve"> </w:t>
      </w:r>
      <w:r w:rsidR="000E327F">
        <w:t xml:space="preserve">to use </w:t>
      </w:r>
      <w:r w:rsidR="00B71809">
        <w:t xml:space="preserve">the lagoon and </w:t>
      </w:r>
      <w:proofErr w:type="spellStart"/>
      <w:r w:rsidR="00B71809">
        <w:t>sprayfield</w:t>
      </w:r>
      <w:proofErr w:type="spellEnd"/>
      <w:r w:rsidR="00B71809">
        <w:t xml:space="preserve"> waste management system</w:t>
      </w:r>
      <w:r w:rsidR="005226F4">
        <w:t>.</w:t>
      </w:r>
      <w:r w:rsidR="00050C9A">
        <w:rPr>
          <w:rStyle w:val="FootnoteReference"/>
        </w:rPr>
        <w:footnoteReference w:id="157"/>
      </w:r>
      <w:r w:rsidR="005226F4">
        <w:t xml:space="preserve"> </w:t>
      </w:r>
      <w:r w:rsidR="00050C9A">
        <w:t>The existing CAFOs, however, are still allowed to utilize this system under the General Permit.</w:t>
      </w:r>
      <w:r w:rsidR="008950C3">
        <w:rPr>
          <w:rStyle w:val="FootnoteReference"/>
        </w:rPr>
        <w:footnoteReference w:id="158"/>
      </w:r>
      <w:r w:rsidR="00050C9A">
        <w:t xml:space="preserve"> </w:t>
      </w:r>
      <w:r w:rsidR="00393732">
        <w:t xml:space="preserve">Permit </w:t>
      </w:r>
      <w:r w:rsidR="008950C3">
        <w:t xml:space="preserve">DEQ insists that the lagoon and </w:t>
      </w:r>
      <w:proofErr w:type="spellStart"/>
      <w:r w:rsidR="008950C3">
        <w:t>sprayfield</w:t>
      </w:r>
      <w:proofErr w:type="spellEnd"/>
      <w:r w:rsidR="008950C3">
        <w:t xml:space="preserve"> waste system is working because CAFO operators are limited in the amount of waste they can apply to </w:t>
      </w:r>
      <w:proofErr w:type="spellStart"/>
      <w:r w:rsidR="008950C3">
        <w:t>sprayfields</w:t>
      </w:r>
      <w:proofErr w:type="spellEnd"/>
      <w:r w:rsidR="008950C3">
        <w:t xml:space="preserve"> at once. “</w:t>
      </w:r>
      <w:r w:rsidR="008950C3" w:rsidRPr="008950C3">
        <w:t>All waste must be applied at no greater than agronomic rates – an amount that can be used productively by the crops planted.</w:t>
      </w:r>
      <w:r w:rsidR="008950C3">
        <w:t>”</w:t>
      </w:r>
      <w:r w:rsidR="008950C3">
        <w:rPr>
          <w:rStyle w:val="FootnoteReference"/>
        </w:rPr>
        <w:footnoteReference w:id="159"/>
      </w:r>
      <w:r w:rsidR="0057112E">
        <w:t xml:space="preserve"> But in January 2015, researchers found that high levels of fecal bacteria in local waterways are linked to CAFOs, </w:t>
      </w:r>
      <w:r w:rsidR="0043479E">
        <w:t>and state officials have only dismissed community members’ concerns.</w:t>
      </w:r>
      <w:r w:rsidR="0043479E">
        <w:rPr>
          <w:rStyle w:val="FootnoteReference"/>
        </w:rPr>
        <w:footnoteReference w:id="160"/>
      </w:r>
    </w:p>
    <w:p w14:paraId="65A83A6F" w14:textId="5FBD7B66" w:rsidR="006873ED" w:rsidRDefault="006873ED" w:rsidP="003B4E36">
      <w:pPr>
        <w:jc w:val="both"/>
        <w:rPr>
          <w:b/>
          <w:sz w:val="26"/>
          <w:szCs w:val="26"/>
        </w:rPr>
      </w:pPr>
      <w:r w:rsidRPr="001656CB">
        <w:rPr>
          <w:b/>
          <w:sz w:val="26"/>
          <w:szCs w:val="26"/>
        </w:rPr>
        <w:t>IV.</w:t>
      </w:r>
      <w:r w:rsidRPr="001656CB">
        <w:rPr>
          <w:b/>
          <w:sz w:val="26"/>
          <w:szCs w:val="26"/>
        </w:rPr>
        <w:tab/>
      </w:r>
      <w:r w:rsidR="00710063">
        <w:rPr>
          <w:b/>
          <w:sz w:val="26"/>
          <w:szCs w:val="26"/>
        </w:rPr>
        <w:t xml:space="preserve">The Root of </w:t>
      </w:r>
      <w:proofErr w:type="gramStart"/>
      <w:r w:rsidR="00710063">
        <w:rPr>
          <w:b/>
          <w:sz w:val="26"/>
          <w:szCs w:val="26"/>
        </w:rPr>
        <w:t>All Evil</w:t>
      </w:r>
      <w:proofErr w:type="gramEnd"/>
      <w:r w:rsidR="00710063">
        <w:rPr>
          <w:b/>
          <w:sz w:val="26"/>
          <w:szCs w:val="26"/>
        </w:rPr>
        <w:t>:</w:t>
      </w:r>
      <w:r w:rsidR="003B4E36">
        <w:rPr>
          <w:b/>
          <w:sz w:val="26"/>
          <w:szCs w:val="26"/>
        </w:rPr>
        <w:t xml:space="preserve"> </w:t>
      </w:r>
      <w:r w:rsidR="00710063">
        <w:rPr>
          <w:b/>
          <w:sz w:val="26"/>
          <w:szCs w:val="26"/>
        </w:rPr>
        <w:t>Money As the Source of</w:t>
      </w:r>
      <w:r w:rsidRPr="001656CB">
        <w:rPr>
          <w:b/>
          <w:sz w:val="26"/>
          <w:szCs w:val="26"/>
        </w:rPr>
        <w:t xml:space="preserve"> the Enforcement Gap</w:t>
      </w:r>
      <w:r w:rsidR="00710063">
        <w:rPr>
          <w:b/>
          <w:sz w:val="26"/>
          <w:szCs w:val="26"/>
        </w:rPr>
        <w:t xml:space="preserve"> and</w:t>
      </w:r>
      <w:r w:rsidR="00710063">
        <w:rPr>
          <w:b/>
          <w:sz w:val="26"/>
          <w:szCs w:val="26"/>
        </w:rPr>
        <w:tab/>
        <w:t xml:space="preserve">Law as an </w:t>
      </w:r>
      <w:r w:rsidR="003B4E36">
        <w:rPr>
          <w:b/>
          <w:sz w:val="26"/>
          <w:szCs w:val="26"/>
        </w:rPr>
        <w:t>Instrument of Oppression</w:t>
      </w:r>
    </w:p>
    <w:p w14:paraId="20C403CC" w14:textId="77777777" w:rsidR="003B4E36" w:rsidRPr="00E02310" w:rsidRDefault="003B4E36" w:rsidP="003B4E36">
      <w:pPr>
        <w:rPr>
          <w:b/>
        </w:rPr>
      </w:pPr>
    </w:p>
    <w:p w14:paraId="3BE6994A" w14:textId="67CE2603" w:rsidR="005A24F5" w:rsidRPr="00A03800" w:rsidRDefault="00966A39" w:rsidP="00A03800">
      <w:pPr>
        <w:ind w:left="1440" w:right="1440"/>
        <w:jc w:val="both"/>
      </w:pPr>
      <w:r w:rsidRPr="00AB07C0">
        <w:rPr>
          <w:i/>
          <w:iCs/>
        </w:rPr>
        <w:t xml:space="preserve">Despite . . . documented environmental and human health harms from CAFO pollution, the industry and its allies have been able to emasculate government protection of its citizens at every level. Local governments have been stripped of control in many communities, preventing them from passing zoning or public health ordinances to address CAFO pollution. State and federal permitting and enforcement activity is nonexistent or </w:t>
      </w:r>
      <w:proofErr w:type="gramStart"/>
      <w:r w:rsidRPr="00AB07C0">
        <w:rPr>
          <w:i/>
          <w:iCs/>
        </w:rPr>
        <w:t>weak.</w:t>
      </w:r>
      <w:proofErr w:type="gramEnd"/>
      <w:r w:rsidRPr="00AB07C0">
        <w:rPr>
          <w:i/>
          <w:iCs/>
        </w:rPr>
        <w:t xml:space="preserve"> . . .</w:t>
      </w:r>
      <w:r w:rsidR="005A24F5" w:rsidRPr="00A03800">
        <w:rPr>
          <w:rStyle w:val="FootnoteReference"/>
        </w:rPr>
        <w:footnoteReference w:id="161"/>
      </w:r>
    </w:p>
    <w:p w14:paraId="1CEC442C" w14:textId="77777777" w:rsidR="00A03800" w:rsidRPr="005A24F5" w:rsidRDefault="00A03800" w:rsidP="00A03800">
      <w:pPr>
        <w:ind w:left="1440" w:right="1440"/>
        <w:jc w:val="both"/>
      </w:pPr>
    </w:p>
    <w:p w14:paraId="0A338FAC" w14:textId="0870BA38" w:rsidR="00DC63AF" w:rsidRDefault="006873ED" w:rsidP="006873ED">
      <w:pPr>
        <w:spacing w:line="480" w:lineRule="auto"/>
        <w:rPr>
          <w:b/>
          <w:i/>
        </w:rPr>
      </w:pPr>
      <w:r>
        <w:rPr>
          <w:b/>
          <w:i/>
        </w:rPr>
        <w:t>A.</w:t>
      </w:r>
      <w:r>
        <w:rPr>
          <w:b/>
          <w:i/>
        </w:rPr>
        <w:tab/>
        <w:t>Special Interests</w:t>
      </w:r>
      <w:r w:rsidR="00DC63AF">
        <w:rPr>
          <w:b/>
          <w:i/>
        </w:rPr>
        <w:t xml:space="preserve"> </w:t>
      </w:r>
    </w:p>
    <w:p w14:paraId="7CD4F958" w14:textId="78745DA3" w:rsidR="007A790C" w:rsidRDefault="00A03800" w:rsidP="00A03800">
      <w:pPr>
        <w:spacing w:line="480" w:lineRule="auto"/>
        <w:ind w:firstLine="720"/>
        <w:jc w:val="both"/>
      </w:pPr>
      <w:r>
        <w:t xml:space="preserve">Section III </w:t>
      </w:r>
      <w:r w:rsidR="00196AF1">
        <w:t>presented</w:t>
      </w:r>
      <w:r>
        <w:t xml:space="preserve"> the ways in which the law </w:t>
      </w:r>
      <w:r w:rsidR="00196AF1">
        <w:t>is failing</w:t>
      </w:r>
      <w:r>
        <w:t xml:space="preserve"> to protect CAFO-occupied communities and even aids in their oppression. Big Ag</w:t>
      </w:r>
      <w:r w:rsidR="002419D9">
        <w:t xml:space="preserve"> has engineered this failure by </w:t>
      </w:r>
      <w:r w:rsidR="00966A39">
        <w:t>maintain</w:t>
      </w:r>
      <w:r w:rsidR="002419D9">
        <w:t>ing a stranglehold on</w:t>
      </w:r>
      <w:r w:rsidR="00EF7CA6">
        <w:t xml:space="preserve"> the American political process in two ways. First, Big Ag exploits the image of the wholesome farming family,</w:t>
      </w:r>
      <w:r w:rsidR="00CB7576">
        <w:t xml:space="preserve"> </w:t>
      </w:r>
      <w:r w:rsidR="00CB4ACE">
        <w:t>almost always portrayed as</w:t>
      </w:r>
      <w:r w:rsidR="00EF7CA6">
        <w:t xml:space="preserve"> white, that many Americans admire.</w:t>
      </w:r>
      <w:r w:rsidR="00CB7576" w:rsidRPr="00CB7576">
        <w:rPr>
          <w:rStyle w:val="FootnoteReference"/>
        </w:rPr>
        <w:t xml:space="preserve"> </w:t>
      </w:r>
      <w:r w:rsidR="00CB7576">
        <w:rPr>
          <w:rStyle w:val="FootnoteReference"/>
        </w:rPr>
        <w:footnoteReference w:id="162"/>
      </w:r>
      <w:r w:rsidR="00CB7576">
        <w:t xml:space="preserve"> </w:t>
      </w:r>
      <w:r w:rsidR="00935719">
        <w:t xml:space="preserve">By portraying industrial farms as the small family farms of yore, the Big Ag lobby successfully controls public and political opinion. </w:t>
      </w:r>
      <w:r w:rsidR="00ED2A02">
        <w:t>Second, Big Ag spends tremendous amounts of money influencing members of Congress.</w:t>
      </w:r>
    </w:p>
    <w:p w14:paraId="22C33125" w14:textId="024683FE" w:rsidR="00253AF0" w:rsidRDefault="007A790C" w:rsidP="00A03800">
      <w:pPr>
        <w:spacing w:line="480" w:lineRule="auto"/>
        <w:ind w:firstLine="720"/>
        <w:jc w:val="both"/>
      </w:pPr>
      <w:r>
        <w:t>T</w:t>
      </w:r>
      <w:r w:rsidR="00157A4B">
        <w:t>he American Farm Bureau Federation</w:t>
      </w:r>
      <w:r w:rsidR="00935719">
        <w:t xml:space="preserve"> (AFBF)</w:t>
      </w:r>
      <w:r>
        <w:t xml:space="preserve">, rated by </w:t>
      </w:r>
      <w:r>
        <w:rPr>
          <w:i/>
        </w:rPr>
        <w:t xml:space="preserve">Fortune </w:t>
      </w:r>
      <w:r>
        <w:t>magazine</w:t>
      </w:r>
      <w:r w:rsidR="00935719">
        <w:t xml:space="preserve"> as one of the top twenty-five most powerful special interest groups in the United States</w:t>
      </w:r>
      <w:r>
        <w:t>, is a prime example of how Big Ag lobbying groups control the political process</w:t>
      </w:r>
      <w:r w:rsidR="00BE2436">
        <w:t>.</w:t>
      </w:r>
      <w:r w:rsidR="00BE2436">
        <w:rPr>
          <w:rStyle w:val="FootnoteReference"/>
        </w:rPr>
        <w:footnoteReference w:id="163"/>
      </w:r>
      <w:r w:rsidR="00253AF0">
        <w:t xml:space="preserve"> “The [AFBF] promotes the interests of farm corporations in Washington D.C., and in state capitals. For</w:t>
      </w:r>
      <w:r w:rsidR="00935719" w:rsidRPr="00935719">
        <w:t xml:space="preserve"> decades, they have spent millions fighting environmental regulations of all kinds.”</w:t>
      </w:r>
      <w:r w:rsidR="00253AF0">
        <w:rPr>
          <w:rStyle w:val="FootnoteReference"/>
        </w:rPr>
        <w:footnoteReference w:id="164"/>
      </w:r>
      <w:r w:rsidR="00253AF0">
        <w:t xml:space="preserve"> </w:t>
      </w:r>
      <w:r w:rsidR="00885A0E">
        <w:t xml:space="preserve">And because Big Ag has convinced the country that industrial farms are actually small family farms, it is all too easy to characterize environmental regulations as the big boot of the federal government standing on the little guy’s throat. </w:t>
      </w:r>
      <w:r w:rsidR="00885A0E" w:rsidRPr="00885A0E">
        <w:t xml:space="preserve">Ron </w:t>
      </w:r>
      <w:proofErr w:type="spellStart"/>
      <w:r w:rsidR="00885A0E" w:rsidRPr="00885A0E">
        <w:t>Prestage</w:t>
      </w:r>
      <w:proofErr w:type="spellEnd"/>
      <w:r w:rsidR="00885A0E" w:rsidRPr="00885A0E">
        <w:t xml:space="preserve">, President of the National Pork Producers Council, </w:t>
      </w:r>
      <w:r w:rsidR="00D651A2">
        <w:t xml:space="preserve">recently </w:t>
      </w:r>
      <w:r w:rsidR="00885A0E" w:rsidRPr="00885A0E">
        <w:t xml:space="preserve">said of the </w:t>
      </w:r>
      <w:r w:rsidR="00885A0E">
        <w:t xml:space="preserve">proposed Clean Water </w:t>
      </w:r>
      <w:r w:rsidR="00885A0E" w:rsidRPr="00885A0E">
        <w:t>Rule: “[</w:t>
      </w:r>
      <w:proofErr w:type="gramStart"/>
      <w:r w:rsidR="00885A0E" w:rsidRPr="00885A0E">
        <w:t>T]his</w:t>
      </w:r>
      <w:proofErr w:type="gramEnd"/>
      <w:r w:rsidR="00885A0E" w:rsidRPr="00885A0E">
        <w:t xml:space="preserve"> regulation isn’t about clean water. This massive land grab is about federal control of private property, growing the size of government and allowing activists to extort and micromanage all kinds of farming and business activities.”</w:t>
      </w:r>
      <w:r w:rsidR="00885A0E">
        <w:rPr>
          <w:rStyle w:val="FootnoteReference"/>
        </w:rPr>
        <w:footnoteReference w:id="165"/>
      </w:r>
    </w:p>
    <w:p w14:paraId="0EF46BEC" w14:textId="155DA7C1" w:rsidR="00F5542E" w:rsidRPr="00F5542E" w:rsidRDefault="000F5E36" w:rsidP="00A03800">
      <w:pPr>
        <w:spacing w:line="480" w:lineRule="auto"/>
        <w:ind w:firstLine="720"/>
        <w:jc w:val="both"/>
      </w:pPr>
      <w:r>
        <w:t xml:space="preserve">And then there is money. </w:t>
      </w:r>
      <w:r w:rsidR="00583C1E">
        <w:t>“[</w:t>
      </w:r>
      <w:proofErr w:type="gramStart"/>
      <w:r w:rsidR="00583C1E">
        <w:t>Q]</w:t>
      </w:r>
      <w:proofErr w:type="spellStart"/>
      <w:r w:rsidR="00F5542E" w:rsidRPr="00F5542E">
        <w:t>uestions</w:t>
      </w:r>
      <w:proofErr w:type="spellEnd"/>
      <w:proofErr w:type="gramEnd"/>
      <w:r w:rsidR="00F5542E" w:rsidRPr="00F5542E">
        <w:t xml:space="preserve"> about whether environmental laws should apply to CAFOs continue to</w:t>
      </w:r>
      <w:r w:rsidR="00F5542E">
        <w:t xml:space="preserve"> </w:t>
      </w:r>
      <w:r w:rsidR="00F5542E" w:rsidRPr="00F5542E">
        <w:t>give ris</w:t>
      </w:r>
      <w:r w:rsidR="00487DF2">
        <w:t xml:space="preserve">e to controversy in Congress and the states, </w:t>
      </w:r>
      <w:r w:rsidR="00F5542E" w:rsidRPr="00F5542E">
        <w:t>and the $297 billion and</w:t>
      </w:r>
      <w:r w:rsidR="00F5542E">
        <w:t xml:space="preserve"> growing </w:t>
      </w:r>
      <w:r w:rsidR="00F5542E" w:rsidRPr="00F5542E">
        <w:t>agricultural industry maintains an extensive bench of lobbyists to take</w:t>
      </w:r>
      <w:r w:rsidR="00F5542E">
        <w:t xml:space="preserve"> </w:t>
      </w:r>
      <w:r w:rsidR="00F5542E" w:rsidRPr="00F5542E">
        <w:t>advantage of that controversy.</w:t>
      </w:r>
      <w:r w:rsidR="008E44AE">
        <w:t>”</w:t>
      </w:r>
      <w:r w:rsidR="00583C1E">
        <w:rPr>
          <w:rStyle w:val="FootnoteReference"/>
        </w:rPr>
        <w:footnoteReference w:id="166"/>
      </w:r>
      <w:r w:rsidR="00F5542E">
        <w:t xml:space="preserve"> </w:t>
      </w:r>
      <w:r w:rsidR="008E44AE">
        <w:t>Between 2005 and 2010, Big Ag spent $126.9 million lobbying Congress and federal regulatory agencies.</w:t>
      </w:r>
      <w:r w:rsidR="008E44AE">
        <w:rPr>
          <w:rStyle w:val="FootnoteReference"/>
        </w:rPr>
        <w:footnoteReference w:id="167"/>
      </w:r>
      <w:r w:rsidR="008E44AE">
        <w:t xml:space="preserve"> </w:t>
      </w:r>
      <w:r w:rsidR="004D43F5">
        <w:t>AFBF alone spent $33.6 mi</w:t>
      </w:r>
      <w:r w:rsidR="00B43ED5">
        <w:t xml:space="preserve">llion and employed 50 lobbyists who spent their </w:t>
      </w:r>
      <w:r w:rsidR="004D43F5">
        <w:t xml:space="preserve">time fighting </w:t>
      </w:r>
      <w:r w:rsidR="00A45911">
        <w:t>the Clean Water Act and other rules affecting CAFO pollution</w:t>
      </w:r>
      <w:r w:rsidR="004D43F5">
        <w:t>.</w:t>
      </w:r>
      <w:r w:rsidR="004D43F5">
        <w:rPr>
          <w:rStyle w:val="FootnoteReference"/>
        </w:rPr>
        <w:footnoteReference w:id="168"/>
      </w:r>
      <w:r w:rsidR="004D43F5">
        <w:t xml:space="preserve"> </w:t>
      </w:r>
      <w:r w:rsidR="00E16907">
        <w:t>In 2016, Big Ag spent $126,242,202 lobbying.</w:t>
      </w:r>
      <w:r w:rsidR="00E16907">
        <w:rPr>
          <w:rStyle w:val="FootnoteReference"/>
        </w:rPr>
        <w:footnoteReference w:id="169"/>
      </w:r>
      <w:r w:rsidR="00141077">
        <w:t xml:space="preserve"> </w:t>
      </w:r>
      <w:r w:rsidR="00E90E60">
        <w:t>Big Ag directed the majority of that money</w:t>
      </w:r>
      <w:r w:rsidR="00584656">
        <w:t xml:space="preserve"> to Republican politicians, including $2,091,657 to then-Republican presidential candidate Donald J. Trump.</w:t>
      </w:r>
      <w:r w:rsidR="00E25AEE">
        <w:rPr>
          <w:rStyle w:val="FootnoteReference"/>
        </w:rPr>
        <w:footnoteReference w:id="170"/>
      </w:r>
      <w:r w:rsidR="00584656">
        <w:t xml:space="preserve"> </w:t>
      </w:r>
      <w:r w:rsidR="00C3199B">
        <w:t>Finally, Big Ag receives an average of $38</w:t>
      </w:r>
      <w:r w:rsidR="000A2AF9">
        <w:t xml:space="preserve">.4 billion in farm </w:t>
      </w:r>
      <w:r w:rsidR="00C3199B">
        <w:t>subsidies (also known as “corporate welfare”) per year.</w:t>
      </w:r>
      <w:r w:rsidR="00C3199B">
        <w:rPr>
          <w:rStyle w:val="FootnoteReference"/>
        </w:rPr>
        <w:footnoteReference w:id="171"/>
      </w:r>
      <w:r w:rsidR="00C3199B">
        <w:t xml:space="preserve"> </w:t>
      </w:r>
    </w:p>
    <w:p w14:paraId="644D6D11" w14:textId="7800D7CE" w:rsidR="00F341C2" w:rsidRDefault="00D132D6" w:rsidP="006873ED">
      <w:pPr>
        <w:spacing w:line="480" w:lineRule="auto"/>
        <w:rPr>
          <w:b/>
          <w:i/>
        </w:rPr>
      </w:pPr>
      <w:r>
        <w:rPr>
          <w:b/>
          <w:i/>
        </w:rPr>
        <w:t>B</w:t>
      </w:r>
      <w:r w:rsidR="00F341C2">
        <w:rPr>
          <w:b/>
          <w:i/>
        </w:rPr>
        <w:t>.</w:t>
      </w:r>
      <w:r w:rsidR="00F341C2">
        <w:rPr>
          <w:b/>
          <w:i/>
        </w:rPr>
        <w:tab/>
        <w:t>North Carolina: “Captured by the Industry”</w:t>
      </w:r>
      <w:r w:rsidR="00F341C2">
        <w:rPr>
          <w:rStyle w:val="FootnoteReference"/>
          <w:b/>
          <w:i/>
        </w:rPr>
        <w:footnoteReference w:id="172"/>
      </w:r>
    </w:p>
    <w:p w14:paraId="4AA32109" w14:textId="133F9EB8" w:rsidR="000C79E3" w:rsidRDefault="000C79E3" w:rsidP="00920141">
      <w:pPr>
        <w:spacing w:line="480" w:lineRule="auto"/>
        <w:jc w:val="both"/>
      </w:pPr>
      <w:r>
        <w:rPr>
          <w:b/>
          <w:i/>
        </w:rPr>
        <w:tab/>
      </w:r>
      <w:r w:rsidR="00920141">
        <w:t xml:space="preserve">North Carolina makes no secret of its allegiance to Big Ag. In 2015, then-Governor Pat </w:t>
      </w:r>
      <w:proofErr w:type="spellStart"/>
      <w:r w:rsidR="00920141">
        <w:t>McCrory</w:t>
      </w:r>
      <w:proofErr w:type="spellEnd"/>
      <w:r w:rsidR="00920141">
        <w:t xml:space="preserve"> attended a rally held by the pork industry. </w:t>
      </w:r>
      <w:r w:rsidR="004F01BD">
        <w:t>“</w:t>
      </w:r>
      <w:proofErr w:type="spellStart"/>
      <w:r w:rsidR="004F01BD">
        <w:t>McCrory</w:t>
      </w:r>
      <w:proofErr w:type="spellEnd"/>
      <w:r w:rsidR="004F01BD">
        <w:t xml:space="preserve"> told those at the i</w:t>
      </w:r>
      <w:r w:rsidR="00920141">
        <w:t xml:space="preserve">ndustry rally,” which was </w:t>
      </w:r>
      <w:r w:rsidR="004F01BD">
        <w:t xml:space="preserve">held to oppose lawsuits over </w:t>
      </w:r>
      <w:r w:rsidR="00920141">
        <w:t>the industry’s environmental practices, that “the government would fight for them.”</w:t>
      </w:r>
      <w:r w:rsidR="00920141">
        <w:rPr>
          <w:rStyle w:val="FootnoteReference"/>
        </w:rPr>
        <w:footnoteReference w:id="173"/>
      </w:r>
      <w:r w:rsidR="00920141">
        <w:t xml:space="preserve"> </w:t>
      </w:r>
      <w:r w:rsidR="00495116">
        <w:t>A Pulitzer Prize-winning investigative series on the North Carolina pork industry revealed that the industry and the government have been close since the beginning.</w:t>
      </w:r>
    </w:p>
    <w:tbl>
      <w:tblPr>
        <w:tblW w:w="0" w:type="auto"/>
        <w:tblBorders>
          <w:top w:val="nil"/>
          <w:left w:val="nil"/>
          <w:right w:val="nil"/>
        </w:tblBorders>
        <w:tblLayout w:type="fixed"/>
        <w:tblLook w:val="0000" w:firstRow="0" w:lastRow="0" w:firstColumn="0" w:lastColumn="0" w:noHBand="0" w:noVBand="0"/>
      </w:tblPr>
      <w:tblGrid>
        <w:gridCol w:w="9740"/>
      </w:tblGrid>
      <w:tr w:rsidR="00495116" w:rsidRPr="00495116" w14:paraId="33A21FB3" w14:textId="77777777">
        <w:tc>
          <w:tcPr>
            <w:tcW w:w="9740" w:type="dxa"/>
            <w:tcMar>
              <w:top w:w="200" w:type="nil"/>
              <w:left w:w="200" w:type="nil"/>
              <w:bottom w:w="200" w:type="nil"/>
              <w:right w:w="200" w:type="nil"/>
            </w:tcMar>
            <w:vAlign w:val="center"/>
          </w:tcPr>
          <w:p w14:paraId="6E9DB7D4" w14:textId="26B18A25" w:rsidR="00495116" w:rsidRPr="00495116" w:rsidRDefault="00495116" w:rsidP="00D45132">
            <w:pPr>
              <w:ind w:left="1440" w:right="1604"/>
              <w:jc w:val="both"/>
            </w:pPr>
            <w:r w:rsidRPr="00495116">
              <w:t>In a seven-month investigation, The N&amp;O found that state agencies aid the expansion of pork production but are slow to act on a growing range of problems resulting from that increase.</w:t>
            </w:r>
            <w:r w:rsidR="00D45132">
              <w:t xml:space="preserve"> </w:t>
            </w:r>
            <w:r w:rsidRPr="00495116">
              <w:t>The industry has won laws and policies promoting its rapid growth in North Carolina. It also has profited from a network of formal and informal alliances with powerful people in government.</w:t>
            </w:r>
            <w:r w:rsidR="00D45132">
              <w:rPr>
                <w:rStyle w:val="FootnoteReference"/>
              </w:rPr>
              <w:footnoteReference w:id="174"/>
            </w:r>
          </w:p>
        </w:tc>
      </w:tr>
      <w:tr w:rsidR="00495116" w:rsidRPr="00495116" w14:paraId="23EEE502" w14:textId="77777777">
        <w:tc>
          <w:tcPr>
            <w:tcW w:w="9740" w:type="dxa"/>
            <w:tcMar>
              <w:top w:w="200" w:type="nil"/>
              <w:left w:w="200" w:type="nil"/>
              <w:bottom w:w="200" w:type="nil"/>
              <w:right w:w="200" w:type="nil"/>
            </w:tcMar>
            <w:vAlign w:val="center"/>
          </w:tcPr>
          <w:p w14:paraId="0E9FCFAD" w14:textId="77777777" w:rsidR="00495116" w:rsidRPr="00495116" w:rsidRDefault="00495116" w:rsidP="00495116">
            <w:pPr>
              <w:ind w:left="1440" w:right="1604"/>
              <w:jc w:val="both"/>
            </w:pPr>
          </w:p>
        </w:tc>
      </w:tr>
    </w:tbl>
    <w:p w14:paraId="5C325DA6" w14:textId="24667E0D" w:rsidR="00495116" w:rsidRPr="000C79E3" w:rsidRDefault="00592CCF" w:rsidP="00920141">
      <w:pPr>
        <w:spacing w:line="480" w:lineRule="auto"/>
        <w:jc w:val="both"/>
      </w:pPr>
      <w:r>
        <w:t>One explana</w:t>
      </w:r>
      <w:r w:rsidR="00027E1D">
        <w:t>tion for this closeness is that</w:t>
      </w:r>
      <w:r>
        <w:t xml:space="preserve"> when the North Carolina tobacco industry went into decline in the 1980s, the pork industry filled the void.</w:t>
      </w:r>
      <w:r>
        <w:rPr>
          <w:rStyle w:val="FootnoteReference"/>
        </w:rPr>
        <w:footnoteReference w:id="175"/>
      </w:r>
      <w:r w:rsidR="00027E1D">
        <w:t xml:space="preserve"> But w</w:t>
      </w:r>
      <w:r>
        <w:t>hatever reason,</w:t>
      </w:r>
      <w:r w:rsidR="00027E1D">
        <w:t xml:space="preserve"> one thing is clear</w:t>
      </w:r>
      <w:r>
        <w:t>: North Carolina is prioritizing industry over community</w:t>
      </w:r>
      <w:r w:rsidR="00027E1D" w:rsidRPr="00424191">
        <w:t>—</w:t>
      </w:r>
      <w:r w:rsidR="00027E1D">
        <w:t>especially communities of color</w:t>
      </w:r>
      <w:r w:rsidR="00A91A36">
        <w:t>.</w:t>
      </w:r>
    </w:p>
    <w:p w14:paraId="22941553" w14:textId="0BC9875F" w:rsidR="006873ED" w:rsidRDefault="006873ED" w:rsidP="003B4E36">
      <w:pPr>
        <w:spacing w:line="480" w:lineRule="auto"/>
        <w:jc w:val="both"/>
        <w:rPr>
          <w:b/>
          <w:sz w:val="26"/>
          <w:szCs w:val="26"/>
        </w:rPr>
      </w:pPr>
      <w:r w:rsidRPr="001656CB">
        <w:rPr>
          <w:b/>
          <w:sz w:val="26"/>
          <w:szCs w:val="26"/>
        </w:rPr>
        <w:t>V.</w:t>
      </w:r>
      <w:r w:rsidRPr="001656CB">
        <w:rPr>
          <w:b/>
          <w:sz w:val="26"/>
          <w:szCs w:val="26"/>
        </w:rPr>
        <w:tab/>
        <w:t xml:space="preserve">North Carolina: </w:t>
      </w:r>
      <w:r w:rsidR="00576FEC">
        <w:rPr>
          <w:b/>
          <w:sz w:val="26"/>
          <w:szCs w:val="26"/>
        </w:rPr>
        <w:t xml:space="preserve">Fighting Back and </w:t>
      </w:r>
      <w:r w:rsidR="007759F0">
        <w:rPr>
          <w:b/>
          <w:sz w:val="26"/>
          <w:szCs w:val="26"/>
        </w:rPr>
        <w:t xml:space="preserve">Grassroots Growth </w:t>
      </w:r>
    </w:p>
    <w:p w14:paraId="49FA7058" w14:textId="11C78CE5" w:rsidR="00F23281" w:rsidRPr="00F23281" w:rsidRDefault="00F23281" w:rsidP="00F23281">
      <w:pPr>
        <w:ind w:left="1440" w:right="1440"/>
        <w:jc w:val="both"/>
      </w:pPr>
      <w:r w:rsidRPr="00F23281">
        <w:rPr>
          <w:i/>
        </w:rPr>
        <w:t>Poor people, and people of color especially, continue to suffer from the horrible conditions brought on by the industria</w:t>
      </w:r>
      <w:r>
        <w:rPr>
          <w:i/>
        </w:rPr>
        <w:t>l hog industry. . . . People just can’t ignore this.</w:t>
      </w:r>
      <w:r>
        <w:rPr>
          <w:rStyle w:val="FootnoteReference"/>
          <w:i/>
        </w:rPr>
        <w:footnoteReference w:id="176"/>
      </w:r>
    </w:p>
    <w:p w14:paraId="6A221A58" w14:textId="77777777" w:rsidR="00F23281" w:rsidRPr="00F23281" w:rsidRDefault="00F23281" w:rsidP="00F23281">
      <w:pPr>
        <w:ind w:firstLine="720"/>
        <w:jc w:val="both"/>
        <w:rPr>
          <w:i/>
        </w:rPr>
      </w:pPr>
    </w:p>
    <w:p w14:paraId="3EEBEA10" w14:textId="03F43EA8" w:rsidR="00E03E82" w:rsidRDefault="0032473A" w:rsidP="003C58BE">
      <w:pPr>
        <w:spacing w:line="480" w:lineRule="auto"/>
        <w:ind w:firstLine="720"/>
        <w:jc w:val="both"/>
      </w:pPr>
      <w:r>
        <w:t>Members of CAFO-occupied communities have pleaded with North Carolina government officials for years. “[</w:t>
      </w:r>
      <w:proofErr w:type="gramStart"/>
      <w:r>
        <w:t>C]ommunities</w:t>
      </w:r>
      <w:proofErr w:type="gramEnd"/>
      <w:r>
        <w:t xml:space="preserve"> have repeatedly asked [DEQ] for stronger protections. Citizens have tried to reach a resolution with government officials that is agreeable to neighbors, regulators, and the industry. Some have brought civil complaints for nuisance and trespass against individual facilities.”</w:t>
      </w:r>
      <w:r>
        <w:rPr>
          <w:rStyle w:val="FootnoteReference"/>
        </w:rPr>
        <w:footnoteReference w:id="177"/>
      </w:r>
      <w:r>
        <w:t xml:space="preserve"> </w:t>
      </w:r>
      <w:r w:rsidR="00FD6E15">
        <w:t xml:space="preserve">Advocacy organizations, including North Carolina </w:t>
      </w:r>
      <w:proofErr w:type="spellStart"/>
      <w:r w:rsidR="00FD6E15">
        <w:t>Riverkeepers</w:t>
      </w:r>
      <w:proofErr w:type="spellEnd"/>
      <w:r w:rsidR="00FD6E15">
        <w:t xml:space="preserve">, </w:t>
      </w:r>
      <w:proofErr w:type="spellStart"/>
      <w:r w:rsidR="00FD6E15">
        <w:t>Waterkeepers</w:t>
      </w:r>
      <w:proofErr w:type="spellEnd"/>
      <w:r w:rsidR="00FD6E15">
        <w:t xml:space="preserve"> Alliance, North Carolina Environmental Justice Network</w:t>
      </w:r>
      <w:r w:rsidR="00F07200">
        <w:t xml:space="preserve"> (N</w:t>
      </w:r>
      <w:r w:rsidR="00412023">
        <w:t>CEJN)</w:t>
      </w:r>
      <w:r w:rsidR="00FD6E15">
        <w:t>, and Rural Empowerment Association for Community Help</w:t>
      </w:r>
      <w:r w:rsidR="00412023">
        <w:t xml:space="preserve"> (REACH)</w:t>
      </w:r>
      <w:r w:rsidR="00FD6E15">
        <w:t>, have all joined in the fight to take back these communities from CAFO occupation.</w:t>
      </w:r>
      <w:r w:rsidR="003C58BE">
        <w:rPr>
          <w:rStyle w:val="FootnoteReference"/>
        </w:rPr>
        <w:footnoteReference w:id="178"/>
      </w:r>
      <w:r w:rsidR="00FD6E15">
        <w:t xml:space="preserve"> </w:t>
      </w:r>
      <w:r w:rsidR="003C58BE">
        <w:t>But alas, “over the decades, complaints have largely fallen on deaf ears.”</w:t>
      </w:r>
      <w:r w:rsidR="003C58BE">
        <w:rPr>
          <w:rStyle w:val="FootnoteReference"/>
        </w:rPr>
        <w:footnoteReference w:id="179"/>
      </w:r>
      <w:r w:rsidR="003C58BE">
        <w:t xml:space="preserve"> </w:t>
      </w:r>
    </w:p>
    <w:p w14:paraId="32A4A1FD" w14:textId="77777777" w:rsidR="001729ED" w:rsidRDefault="001729ED" w:rsidP="006873ED">
      <w:pPr>
        <w:spacing w:line="480" w:lineRule="auto"/>
        <w:rPr>
          <w:b/>
          <w:i/>
        </w:rPr>
      </w:pPr>
    </w:p>
    <w:p w14:paraId="70E72BEB" w14:textId="77777777" w:rsidR="001729ED" w:rsidRDefault="001729ED" w:rsidP="006873ED">
      <w:pPr>
        <w:spacing w:line="480" w:lineRule="auto"/>
        <w:rPr>
          <w:b/>
          <w:i/>
        </w:rPr>
      </w:pPr>
    </w:p>
    <w:p w14:paraId="6F8CBB5F" w14:textId="77777777" w:rsidR="001729ED" w:rsidRDefault="001729ED" w:rsidP="006873ED">
      <w:pPr>
        <w:spacing w:line="480" w:lineRule="auto"/>
        <w:rPr>
          <w:b/>
          <w:i/>
        </w:rPr>
      </w:pPr>
    </w:p>
    <w:p w14:paraId="04FD2606" w14:textId="77777777" w:rsidR="001729ED" w:rsidRDefault="001729ED" w:rsidP="006873ED">
      <w:pPr>
        <w:spacing w:line="480" w:lineRule="auto"/>
        <w:rPr>
          <w:b/>
          <w:i/>
        </w:rPr>
      </w:pPr>
    </w:p>
    <w:p w14:paraId="7EA8670D" w14:textId="77777777" w:rsidR="001729ED" w:rsidRDefault="001729ED" w:rsidP="006873ED">
      <w:pPr>
        <w:spacing w:line="480" w:lineRule="auto"/>
        <w:rPr>
          <w:b/>
          <w:i/>
        </w:rPr>
      </w:pPr>
    </w:p>
    <w:p w14:paraId="2305067A" w14:textId="2489CEB4" w:rsidR="001977D3" w:rsidRDefault="001977D3" w:rsidP="006873ED">
      <w:pPr>
        <w:spacing w:line="480" w:lineRule="auto"/>
        <w:rPr>
          <w:b/>
          <w:i/>
        </w:rPr>
      </w:pPr>
      <w:r>
        <w:rPr>
          <w:b/>
          <w:i/>
        </w:rPr>
        <w:t>A.</w:t>
      </w:r>
      <w:r>
        <w:rPr>
          <w:b/>
          <w:i/>
        </w:rPr>
        <w:tab/>
      </w:r>
      <w:r w:rsidR="00846739">
        <w:rPr>
          <w:b/>
          <w:i/>
        </w:rPr>
        <w:t>Community</w:t>
      </w:r>
      <w:r w:rsidR="00890D20">
        <w:rPr>
          <w:b/>
          <w:i/>
        </w:rPr>
        <w:t xml:space="preserve"> Organizing and Information </w:t>
      </w:r>
      <w:r w:rsidR="00846739">
        <w:rPr>
          <w:b/>
          <w:i/>
        </w:rPr>
        <w:t>Gathering</w:t>
      </w:r>
      <w:r w:rsidR="002E0A9E">
        <w:rPr>
          <w:b/>
          <w:i/>
        </w:rPr>
        <w:t xml:space="preserve"> </w:t>
      </w:r>
    </w:p>
    <w:p w14:paraId="20F1DB81" w14:textId="240A9DA9" w:rsidR="00731B5A" w:rsidRDefault="002E0A9E" w:rsidP="005C4420">
      <w:pPr>
        <w:spacing w:line="480" w:lineRule="auto"/>
        <w:jc w:val="both"/>
      </w:pPr>
      <w:r>
        <w:rPr>
          <w:b/>
          <w:i/>
        </w:rPr>
        <w:tab/>
      </w:r>
      <w:r w:rsidR="002C4F58">
        <w:t>Community members rallied together and</w:t>
      </w:r>
      <w:r w:rsidR="00CF7E00">
        <w:t xml:space="preserve"> armed t</w:t>
      </w:r>
      <w:r w:rsidR="00412023">
        <w:t xml:space="preserve">hemselves with information. By </w:t>
      </w:r>
      <w:r w:rsidR="00C229CD">
        <w:t>collaborating</w:t>
      </w:r>
      <w:r w:rsidR="00412023">
        <w:t xml:space="preserve"> with Professor Steve Wing, a public health professor at the University of North Carolina, and Devon Hall, cofounder of REACH</w:t>
      </w:r>
      <w:r w:rsidR="00731B5A">
        <w:t xml:space="preserve"> (the researchers)</w:t>
      </w:r>
      <w:r w:rsidR="00412023">
        <w:t xml:space="preserve">, the communities </w:t>
      </w:r>
      <w:r w:rsidR="00F42D45">
        <w:t>gathered valuable data for their fight against the CAFOs.</w:t>
      </w:r>
      <w:r w:rsidR="00CB035C">
        <w:rPr>
          <w:rStyle w:val="FootnoteReference"/>
        </w:rPr>
        <w:footnoteReference w:id="180"/>
      </w:r>
      <w:r w:rsidR="00F42D45">
        <w:t xml:space="preserve"> </w:t>
      </w:r>
    </w:p>
    <w:p w14:paraId="56E6EB7D" w14:textId="3D84C121" w:rsidR="006F56BE" w:rsidRDefault="00C229CD" w:rsidP="00C229CD">
      <w:pPr>
        <w:spacing w:line="480" w:lineRule="auto"/>
        <w:ind w:firstLine="720"/>
        <w:jc w:val="both"/>
      </w:pPr>
      <w:r>
        <w:t>In the Duplin Health Awareness Project</w:t>
      </w:r>
      <w:r w:rsidR="00731B5A" w:rsidRPr="00F42D45">
        <w:t>,</w:t>
      </w:r>
      <w:r>
        <w:rPr>
          <w:rStyle w:val="FootnoteReference"/>
        </w:rPr>
        <w:footnoteReference w:id="181"/>
      </w:r>
      <w:r w:rsidR="00731B5A" w:rsidRPr="00F42D45">
        <w:t xml:space="preserve"> </w:t>
      </w:r>
      <w:r>
        <w:t xml:space="preserve">the first of ten such studies, </w:t>
      </w:r>
      <w:r w:rsidR="00731B5A" w:rsidRPr="00F42D45">
        <w:t>the researchers set up equipment in neighborhoods within a mile of CAFOs to monitor the air quality for toxins and PM.</w:t>
      </w:r>
      <w:r w:rsidR="00731B5A" w:rsidRPr="00F42D45">
        <w:rPr>
          <w:rStyle w:val="FootnoteReference"/>
        </w:rPr>
        <w:footnoteReference w:id="182"/>
      </w:r>
      <w:r w:rsidR="00731B5A" w:rsidRPr="00F42D45">
        <w:t xml:space="preserve"> </w:t>
      </w:r>
      <w:r w:rsidR="00ED026F" w:rsidRPr="00F42D45">
        <w:t>The</w:t>
      </w:r>
      <w:r w:rsidR="00D45951">
        <w:t>n, the</w:t>
      </w:r>
      <w:r w:rsidR="00ED026F" w:rsidRPr="00F42D45">
        <w:t xml:space="preserve"> researche</w:t>
      </w:r>
      <w:r w:rsidR="00D45951">
        <w:t xml:space="preserve">rs </w:t>
      </w:r>
      <w:r w:rsidR="00ED026F">
        <w:t>instructed community members to sit outdoors and note odor intensity and their own daily stress levels.</w:t>
      </w:r>
      <w:r w:rsidR="00ED026F">
        <w:rPr>
          <w:rStyle w:val="FootnoteReference"/>
        </w:rPr>
        <w:footnoteReference w:id="183"/>
      </w:r>
      <w:r w:rsidR="00ED026F">
        <w:t xml:space="preserve"> At the same time, the community</w:t>
      </w:r>
      <w:r w:rsidR="00D45951">
        <w:t xml:space="preserve"> members</w:t>
      </w:r>
      <w:r w:rsidR="00ED026F">
        <w:t xml:space="preserve"> tracked their own blood pressure and lung function with medical equipment.</w:t>
      </w:r>
      <w:r w:rsidR="00ED026F">
        <w:rPr>
          <w:rStyle w:val="FootnoteReference"/>
        </w:rPr>
        <w:footnoteReference w:id="184"/>
      </w:r>
      <w:r w:rsidR="00ED026F">
        <w:t xml:space="preserve"> They recorded all of the data they collected about their surroundings, health, and </w:t>
      </w:r>
      <w:proofErr w:type="gramStart"/>
      <w:r w:rsidR="00ED026F">
        <w:t>well-bei</w:t>
      </w:r>
      <w:r>
        <w:t>ng</w:t>
      </w:r>
      <w:proofErr w:type="gramEnd"/>
      <w:r w:rsidR="00ED026F">
        <w:t>.</w:t>
      </w:r>
      <w:r w:rsidR="00ED026F">
        <w:rPr>
          <w:rStyle w:val="FootnoteReference"/>
        </w:rPr>
        <w:footnoteReference w:id="185"/>
      </w:r>
      <w:r w:rsidR="00ED026F">
        <w:t xml:space="preserve"> </w:t>
      </w:r>
      <w:r w:rsidR="007C7536">
        <w:t>T</w:t>
      </w:r>
      <w:r>
        <w:t>he researchers and the community members were able to develop</w:t>
      </w:r>
      <w:r w:rsidR="00F42D45">
        <w:t xml:space="preserve"> data</w:t>
      </w:r>
      <w:r>
        <w:t xml:space="preserve"> proving what the community membe</w:t>
      </w:r>
      <w:r w:rsidR="002B366C">
        <w:t>rs already knew from experience:</w:t>
      </w:r>
      <w:r w:rsidR="00F42D45">
        <w:t xml:space="preserve"> </w:t>
      </w:r>
      <w:r>
        <w:t>there are “</w:t>
      </w:r>
      <w:r w:rsidR="00F42D45" w:rsidRPr="00412023">
        <w:t>correlations between hog waste and asthma and other respiratory problems, such as bronchitis, along with compromised immune systems and increased stress and anxiety</w:t>
      </w:r>
      <w:r w:rsidR="00F42D45">
        <w:t>.”</w:t>
      </w:r>
      <w:r w:rsidR="00F42D45">
        <w:rPr>
          <w:rStyle w:val="FootnoteReference"/>
        </w:rPr>
        <w:footnoteReference w:id="186"/>
      </w:r>
      <w:r w:rsidR="00F42D45">
        <w:t xml:space="preserve"> </w:t>
      </w:r>
    </w:p>
    <w:p w14:paraId="7AC3879C" w14:textId="150B4E56" w:rsidR="005A78F7" w:rsidRDefault="005A78F7" w:rsidP="00315DB5">
      <w:pPr>
        <w:spacing w:line="480" w:lineRule="auto"/>
        <w:ind w:firstLine="720"/>
        <w:jc w:val="both"/>
      </w:pPr>
      <w:r>
        <w:t>REACH took further action</w:t>
      </w:r>
      <w:r w:rsidR="004B05AA">
        <w:t xml:space="preserve"> to monitor air and water and to organize the community</w:t>
      </w:r>
      <w:r>
        <w:t xml:space="preserve">. The organization worked with </w:t>
      </w:r>
      <w:proofErr w:type="spellStart"/>
      <w:r>
        <w:t>Waterkeeper</w:t>
      </w:r>
      <w:proofErr w:type="spellEnd"/>
      <w:r>
        <w:t xml:space="preserve"> Alliance, who deployed </w:t>
      </w:r>
      <w:proofErr w:type="spellStart"/>
      <w:r>
        <w:t>Riverkeepers</w:t>
      </w:r>
      <w:proofErr w:type="spellEnd"/>
      <w:r>
        <w:t xml:space="preserve"> </w:t>
      </w:r>
      <w:r w:rsidR="00EC5135">
        <w:t>to take water samples from area waterways</w:t>
      </w:r>
      <w:r>
        <w:t>.</w:t>
      </w:r>
      <w:r w:rsidR="00EC5135">
        <w:rPr>
          <w:rStyle w:val="FootnoteReference"/>
        </w:rPr>
        <w:footnoteReference w:id="187"/>
      </w:r>
      <w:r>
        <w:t xml:space="preserve"> In addition, the collaborators</w:t>
      </w:r>
      <w:r w:rsidR="00EC5135">
        <w:t xml:space="preserve"> created maps of the CAFOs and lagoons and</w:t>
      </w:r>
      <w:r>
        <w:t xml:space="preserve"> patrolled the community </w:t>
      </w:r>
      <w:r w:rsidR="00EC5135">
        <w:t>to</w:t>
      </w:r>
      <w:r>
        <w:t xml:space="preserve"> </w:t>
      </w:r>
      <w:r w:rsidR="00EC5135">
        <w:t>record violations of the General Permit, such as when CAFO operators spray</w:t>
      </w:r>
      <w:r>
        <w:t xml:space="preserve"> manure on the </w:t>
      </w:r>
      <w:proofErr w:type="spellStart"/>
      <w:r>
        <w:t>sprayfields</w:t>
      </w:r>
      <w:proofErr w:type="spellEnd"/>
      <w:r>
        <w:t xml:space="preserve"> before or during a storm.</w:t>
      </w:r>
      <w:r w:rsidR="00EC5135">
        <w:rPr>
          <w:rStyle w:val="FootnoteReference"/>
        </w:rPr>
        <w:footnoteReference w:id="188"/>
      </w:r>
      <w:r w:rsidR="009B0973">
        <w:t xml:space="preserve"> Finally, REACH went door-to-door in communities to distribute fact sheets and unite neighbors. “‘</w:t>
      </w:r>
      <w:r w:rsidR="009B0973" w:rsidRPr="009B0973">
        <w:t xml:space="preserve">We told them, this is how many pigs live around you, and this is who's making the money. We got good at mobilizing the </w:t>
      </w:r>
      <w:r w:rsidR="009B0973">
        <w:t>community.’”</w:t>
      </w:r>
      <w:r w:rsidR="009B0973">
        <w:rPr>
          <w:rStyle w:val="FootnoteReference"/>
        </w:rPr>
        <w:footnoteReference w:id="189"/>
      </w:r>
      <w:r w:rsidR="00315DB5">
        <w:t xml:space="preserve"> Ultimately, the community utilized the information and data they collected to try to prevent DEQ from renewing the General Permit in 2014.</w:t>
      </w:r>
      <w:r w:rsidR="00315DB5">
        <w:rPr>
          <w:rStyle w:val="FootnoteReference"/>
        </w:rPr>
        <w:footnoteReference w:id="190"/>
      </w:r>
      <w:r w:rsidR="00315DB5">
        <w:t xml:space="preserve"> While they did not succeed in preventing the renewal, their data did succeed in convincing DEQ from instituting the 2007 moratorium on lagoon and </w:t>
      </w:r>
      <w:proofErr w:type="spellStart"/>
      <w:r w:rsidR="00315DB5">
        <w:t>sprayfield</w:t>
      </w:r>
      <w:proofErr w:type="spellEnd"/>
      <w:r w:rsidR="00315DB5">
        <w:t xml:space="preserve"> CAFOs.</w:t>
      </w:r>
      <w:r w:rsidR="00315DB5">
        <w:rPr>
          <w:rStyle w:val="FootnoteReference"/>
        </w:rPr>
        <w:footnoteReference w:id="191"/>
      </w:r>
      <w:r w:rsidR="00315DB5">
        <w:t xml:space="preserve"> </w:t>
      </w:r>
    </w:p>
    <w:p w14:paraId="2AC60E96" w14:textId="6E77128C" w:rsidR="00C5443A" w:rsidRPr="00C5443A" w:rsidRDefault="003B0E28" w:rsidP="00C5443A">
      <w:pPr>
        <w:spacing w:line="480" w:lineRule="auto"/>
        <w:ind w:firstLine="720"/>
        <w:jc w:val="both"/>
      </w:pPr>
      <w:r>
        <w:t>But community</w:t>
      </w:r>
      <w:r w:rsidR="002C4F58">
        <w:t xml:space="preserve"> mobilization and investi</w:t>
      </w:r>
      <w:r w:rsidR="005B6B1F">
        <w:t>gative efforts a</w:t>
      </w:r>
      <w:r w:rsidR="00944E46">
        <w:t>re not without</w:t>
      </w:r>
      <w:r w:rsidR="002C4F58">
        <w:t xml:space="preserve"> risk. </w:t>
      </w:r>
      <w:r w:rsidR="00071769">
        <w:t>CAFO operators harassed w</w:t>
      </w:r>
      <w:r w:rsidR="00D50590">
        <w:t>ater samplers</w:t>
      </w:r>
      <w:r w:rsidR="00071769">
        <w:t>.</w:t>
      </w:r>
      <w:r w:rsidR="00071769">
        <w:rPr>
          <w:rStyle w:val="FootnoteReference"/>
        </w:rPr>
        <w:footnoteReference w:id="192"/>
      </w:r>
      <w:r w:rsidR="009914D2">
        <w:t xml:space="preserve"> </w:t>
      </w:r>
      <w:r w:rsidR="00B57F5C">
        <w:t xml:space="preserve">Community members reported that CAFO operators </w:t>
      </w:r>
      <w:r w:rsidR="005B6B1F">
        <w:t xml:space="preserve">subjected community members who spoke out to several intimidation tactics, including </w:t>
      </w:r>
      <w:r w:rsidR="00B57F5C" w:rsidRPr="00B57F5C">
        <w:t>sustained tailgating,</w:t>
      </w:r>
      <w:r w:rsidR="00B57F5C">
        <w:t xml:space="preserve"> yelling</w:t>
      </w:r>
      <w:r w:rsidR="005B6B1F">
        <w:t>, threats of gun</w:t>
      </w:r>
      <w:r w:rsidR="00B57F5C">
        <w:t xml:space="preserve"> and other physical violence, and driving back in forth in front of the</w:t>
      </w:r>
      <w:r w:rsidR="005B6B1F">
        <w:t>ir</w:t>
      </w:r>
      <w:r w:rsidR="00B57F5C">
        <w:t xml:space="preserve"> houses.</w:t>
      </w:r>
      <w:r w:rsidR="00B57F5C">
        <w:rPr>
          <w:rStyle w:val="FootnoteReference"/>
        </w:rPr>
        <w:footnoteReference w:id="193"/>
      </w:r>
      <w:r w:rsidR="00B57F5C">
        <w:t xml:space="preserve"> </w:t>
      </w:r>
      <w:r w:rsidR="009914D2">
        <w:t xml:space="preserve">When community members called DEQ to report illegal spraying during or before a storm, they were rewarded </w:t>
      </w:r>
      <w:r w:rsidR="00890D20">
        <w:t>with calls from disgruntled CAFO operators after DEQ informed them of the complaint.</w:t>
      </w:r>
      <w:r w:rsidR="00890D20">
        <w:rPr>
          <w:rStyle w:val="FootnoteReference"/>
        </w:rPr>
        <w:footnoteReference w:id="194"/>
      </w:r>
      <w:r w:rsidR="00890D20">
        <w:t xml:space="preserve"> Such complaints are confidential</w:t>
      </w:r>
      <w:r w:rsidR="00890D20" w:rsidRPr="00424191">
        <w:t>—</w:t>
      </w:r>
      <w:r w:rsidR="00890D20">
        <w:t>but nonetheless, DEQ regulators sometimes choose to expose those who make them.</w:t>
      </w:r>
      <w:r w:rsidR="00890D20">
        <w:rPr>
          <w:rStyle w:val="FootnoteReference"/>
        </w:rPr>
        <w:footnoteReference w:id="195"/>
      </w:r>
      <w:r w:rsidR="00890D20">
        <w:t xml:space="preserve"> </w:t>
      </w:r>
      <w:r w:rsidR="00802E84">
        <w:t xml:space="preserve">In the most egregious </w:t>
      </w:r>
      <w:r w:rsidR="00C5443A">
        <w:t xml:space="preserve">incident of harassment, a CAFO operator entered “the home of an elderly African American woman and </w:t>
      </w:r>
      <w:proofErr w:type="spellStart"/>
      <w:proofErr w:type="gramStart"/>
      <w:r w:rsidR="00C5443A">
        <w:t>sh</w:t>
      </w:r>
      <w:proofErr w:type="spellEnd"/>
      <w:r w:rsidR="00C5443A">
        <w:t>[</w:t>
      </w:r>
      <w:proofErr w:type="spellStart"/>
      <w:proofErr w:type="gramEnd"/>
      <w:r w:rsidR="00C5443A">
        <w:t>ook</w:t>
      </w:r>
      <w:proofErr w:type="spellEnd"/>
      <w:r w:rsidR="00C5443A">
        <w:t>] the chair she sat in while threatening her and her family with physical violence if they continued to complain about the odors and spray.”</w:t>
      </w:r>
      <w:r w:rsidR="00C5443A">
        <w:rPr>
          <w:rStyle w:val="FootnoteReference"/>
        </w:rPr>
        <w:footnoteReference w:id="196"/>
      </w:r>
      <w:r w:rsidR="004D45F9">
        <w:t xml:space="preserve"> </w:t>
      </w:r>
    </w:p>
    <w:p w14:paraId="2602C84D" w14:textId="58192AE4" w:rsidR="006873ED" w:rsidRDefault="001977D3" w:rsidP="006873ED">
      <w:pPr>
        <w:spacing w:line="480" w:lineRule="auto"/>
        <w:rPr>
          <w:b/>
          <w:i/>
        </w:rPr>
      </w:pPr>
      <w:r>
        <w:rPr>
          <w:b/>
          <w:i/>
        </w:rPr>
        <w:t>B</w:t>
      </w:r>
      <w:r w:rsidR="006873ED" w:rsidRPr="00E01ADA">
        <w:rPr>
          <w:b/>
          <w:i/>
        </w:rPr>
        <w:t>.</w:t>
      </w:r>
      <w:r w:rsidR="006873ED" w:rsidRPr="00E01ADA">
        <w:rPr>
          <w:b/>
          <w:i/>
        </w:rPr>
        <w:tab/>
      </w:r>
      <w:r w:rsidR="006873ED">
        <w:rPr>
          <w:b/>
          <w:i/>
        </w:rPr>
        <w:t>Civil Rights Complaint</w:t>
      </w:r>
    </w:p>
    <w:p w14:paraId="73E4F7B1" w14:textId="146D0777" w:rsidR="006F56BE" w:rsidRDefault="006F56BE" w:rsidP="00BF7A15">
      <w:pPr>
        <w:spacing w:line="480" w:lineRule="auto"/>
        <w:ind w:firstLine="720"/>
        <w:jc w:val="both"/>
      </w:pPr>
      <w:r>
        <w:t xml:space="preserve">In </w:t>
      </w:r>
      <w:r w:rsidR="002446F4">
        <w:t xml:space="preserve">March </w:t>
      </w:r>
      <w:r>
        <w:t xml:space="preserve">2014, DEQ ignored community pleas and renewed the General Permit that allowed CAFOs to continue using lagoons and </w:t>
      </w:r>
      <w:proofErr w:type="spellStart"/>
      <w:r>
        <w:t>sprayfields</w:t>
      </w:r>
      <w:proofErr w:type="spellEnd"/>
      <w:r>
        <w:t xml:space="preserve"> as waste management.</w:t>
      </w:r>
      <w:r>
        <w:rPr>
          <w:rStyle w:val="FootnoteReference"/>
        </w:rPr>
        <w:footnoteReference w:id="197"/>
      </w:r>
      <w:r w:rsidR="002446F4">
        <w:t xml:space="preserve"> This was the last straw.</w:t>
      </w:r>
      <w:r>
        <w:t xml:space="preserve"> </w:t>
      </w:r>
      <w:r w:rsidR="009F41E5">
        <w:t>“‘</w:t>
      </w:r>
      <w:r w:rsidR="009F41E5" w:rsidRPr="009F41E5">
        <w:t>We’ve been asking the state and our representatives for years to do something different about how this industry operates in the sta</w:t>
      </w:r>
      <w:r w:rsidR="009F41E5">
        <w:t>te,’ says NCEJN’s Muhammad. ‘</w:t>
      </w:r>
      <w:r w:rsidR="009F41E5" w:rsidRPr="009F41E5">
        <w:t>It was an insult to the community and to the people of the state of North Carolina to renew those permits.</w:t>
      </w:r>
      <w:r w:rsidR="009F41E5">
        <w:t>’</w:t>
      </w:r>
      <w:r w:rsidR="009F41E5" w:rsidRPr="009F41E5">
        <w:t>”</w:t>
      </w:r>
      <w:r w:rsidR="009F41E5">
        <w:rPr>
          <w:rStyle w:val="FootnoteReference"/>
        </w:rPr>
        <w:footnoteReference w:id="198"/>
      </w:r>
      <w:r w:rsidR="009D06F7">
        <w:t xml:space="preserve"> </w:t>
      </w:r>
    </w:p>
    <w:p w14:paraId="1441CCBD" w14:textId="5707A351" w:rsidR="00745BFA" w:rsidRDefault="002446F4" w:rsidP="00745BFA">
      <w:pPr>
        <w:spacing w:line="480" w:lineRule="auto"/>
        <w:ind w:firstLine="720"/>
        <w:jc w:val="both"/>
      </w:pPr>
      <w:r>
        <w:t>In September 2014</w:t>
      </w:r>
      <w:r w:rsidR="007E7D48">
        <w:t xml:space="preserve">, </w:t>
      </w:r>
      <w:proofErr w:type="spellStart"/>
      <w:r w:rsidR="007E7D48">
        <w:t>Earthjustice</w:t>
      </w:r>
      <w:proofErr w:type="spellEnd"/>
      <w:r w:rsidR="007E7D48">
        <w:t xml:space="preserve"> and the University of North Carolina Center for Civil Rights, representing </w:t>
      </w:r>
      <w:proofErr w:type="spellStart"/>
      <w:r w:rsidR="007E7D48">
        <w:t>Waterkeeper</w:t>
      </w:r>
      <w:proofErr w:type="spellEnd"/>
      <w:r w:rsidR="007E7D48">
        <w:t xml:space="preserve"> Alliance, NCEJN, and REACH</w:t>
      </w:r>
      <w:r w:rsidR="004D45F9">
        <w:t xml:space="preserve"> (Citizens)</w:t>
      </w:r>
      <w:r w:rsidR="007E7D48">
        <w:t>, filed a complaint</w:t>
      </w:r>
      <w:r w:rsidR="008A2E45">
        <w:t xml:space="preserve"> (Complaint)</w:t>
      </w:r>
      <w:r>
        <w:rPr>
          <w:rStyle w:val="FootnoteReference"/>
        </w:rPr>
        <w:footnoteReference w:id="199"/>
      </w:r>
      <w:r w:rsidR="007E7D48">
        <w:t xml:space="preserve"> in the EPA</w:t>
      </w:r>
      <w:r w:rsidR="008F5845">
        <w:t xml:space="preserve"> External Civil Rights Compliance Office </w:t>
      </w:r>
      <w:r w:rsidR="00202FC9">
        <w:t xml:space="preserve">(ECRCO) </w:t>
      </w:r>
      <w:r w:rsidR="008F5845">
        <w:t xml:space="preserve">(formerly the </w:t>
      </w:r>
      <w:r w:rsidR="007E7D48">
        <w:t>Office of Civil Rights</w:t>
      </w:r>
      <w:r w:rsidR="008F5845">
        <w:t>)</w:t>
      </w:r>
      <w:r w:rsidR="007E7D48">
        <w:t xml:space="preserve"> under Title VI of the Civil Rights Act of 1964</w:t>
      </w:r>
      <w:r w:rsidR="00DA0366">
        <w:t xml:space="preserve"> (Title VI</w:t>
      </w:r>
      <w:r w:rsidR="00A4226C">
        <w:t>)</w:t>
      </w:r>
      <w:r w:rsidR="007E7D48">
        <w:rPr>
          <w:rStyle w:val="FootnoteReference"/>
        </w:rPr>
        <w:footnoteReference w:id="200"/>
      </w:r>
      <w:r w:rsidR="007E7D48">
        <w:t xml:space="preserve"> </w:t>
      </w:r>
      <w:r w:rsidR="00A4226C">
        <w:t>and its implementing regulations.</w:t>
      </w:r>
      <w:r w:rsidR="00A4226C">
        <w:rPr>
          <w:rStyle w:val="FootnoteReference"/>
        </w:rPr>
        <w:footnoteReference w:id="201"/>
      </w:r>
      <w:r w:rsidR="00A4226C">
        <w:t xml:space="preserve"> </w:t>
      </w:r>
      <w:r w:rsidR="00DA0366">
        <w:t>Under Title VI, state regulatory programs that receive federal funding may not operate in such a way that disproportionately impacts communities of color in a negative way.</w:t>
      </w:r>
      <w:r w:rsidR="00DA0366">
        <w:rPr>
          <w:rStyle w:val="FootnoteReference"/>
        </w:rPr>
        <w:footnoteReference w:id="202"/>
      </w:r>
      <w:r w:rsidR="00DA0366">
        <w:t xml:space="preserve"> </w:t>
      </w:r>
      <w:r w:rsidR="007E7D48">
        <w:t>In the</w:t>
      </w:r>
      <w:r w:rsidR="00DA0366">
        <w:t>ir</w:t>
      </w:r>
      <w:r w:rsidR="007E7D48">
        <w:t xml:space="preserve"> complaint, the groups allege that “the State’s lax regulation of hog-waste disposal discriminates against minority communities in eastern North Carolina, and that its </w:t>
      </w:r>
      <w:r w:rsidR="00E0304E">
        <w:t>[Department of Environmental Quality</w:t>
      </w:r>
      <w:r w:rsidR="005B6B9A">
        <w:t>’s</w:t>
      </w:r>
      <w:r w:rsidR="00E0304E">
        <w:t xml:space="preserve">] </w:t>
      </w:r>
      <w:r w:rsidR="007E7D48">
        <w:t>recent permit allowing thousands of hog facilities to function without adequate waste-disposal controls violates federal law.”</w:t>
      </w:r>
      <w:r w:rsidR="007E7D48">
        <w:rPr>
          <w:rStyle w:val="FootnoteReference"/>
        </w:rPr>
        <w:footnoteReference w:id="203"/>
      </w:r>
      <w:r w:rsidR="007E7D48">
        <w:t xml:space="preserve"> </w:t>
      </w:r>
    </w:p>
    <w:p w14:paraId="21C6AD16" w14:textId="6325EF01" w:rsidR="007469A1" w:rsidRDefault="00202FC9" w:rsidP="007469A1">
      <w:pPr>
        <w:spacing w:line="480" w:lineRule="auto"/>
        <w:ind w:firstLine="720"/>
        <w:jc w:val="both"/>
      </w:pPr>
      <w:r>
        <w:t>In February 2015, ECRCO</w:t>
      </w:r>
      <w:r w:rsidR="00745BFA">
        <w:t xml:space="preserve"> began investigating DEQ</w:t>
      </w:r>
      <w:r w:rsidR="004D45F9">
        <w:t xml:space="preserve"> on the basis of the Complaint</w:t>
      </w:r>
      <w:r w:rsidR="00745BFA">
        <w:t>.</w:t>
      </w:r>
      <w:r w:rsidR="00745BFA">
        <w:rPr>
          <w:rStyle w:val="FootnoteReference"/>
        </w:rPr>
        <w:footnoteReference w:id="204"/>
      </w:r>
      <w:r w:rsidR="004D45F9">
        <w:t xml:space="preserve"> In March, the Citizens and DEQ agreed to enter into alternative dispute resolution, funded by the EPA.</w:t>
      </w:r>
      <w:r w:rsidR="004D45F9">
        <w:rPr>
          <w:rStyle w:val="FootnoteReference"/>
        </w:rPr>
        <w:footnoteReference w:id="205"/>
      </w:r>
      <w:r w:rsidR="003515DF">
        <w:t xml:space="preserve"> As the </w:t>
      </w:r>
      <w:r w:rsidR="00AB5B96">
        <w:t xml:space="preserve">January 2016 </w:t>
      </w:r>
      <w:r w:rsidR="003515DF">
        <w:t>mediation date approached, the National Pork Council and the North Carolina Pork Council</w:t>
      </w:r>
      <w:r w:rsidR="00CA0C64">
        <w:t xml:space="preserve"> moved to intervene</w:t>
      </w:r>
      <w:r w:rsidR="00C24768" w:rsidRPr="00424191">
        <w:t>—</w:t>
      </w:r>
      <w:r w:rsidR="00C24768">
        <w:t>a troubling development for the Citizens, since the negotiations were confidential</w:t>
      </w:r>
      <w:r w:rsidR="003515DF">
        <w:t>.</w:t>
      </w:r>
      <w:r w:rsidR="003515DF">
        <w:rPr>
          <w:rStyle w:val="FootnoteReference"/>
        </w:rPr>
        <w:footnoteReference w:id="206"/>
      </w:r>
      <w:r w:rsidR="003515DF">
        <w:t xml:space="preserve"> </w:t>
      </w:r>
      <w:r w:rsidR="007469A1">
        <w:t xml:space="preserve">The Citizens objected to industry involvement in the mediation: </w:t>
      </w:r>
    </w:p>
    <w:p w14:paraId="425C132D" w14:textId="1A089105" w:rsidR="00745BFA" w:rsidRDefault="007469A1" w:rsidP="007469A1">
      <w:pPr>
        <w:ind w:left="1440" w:right="1440"/>
        <w:jc w:val="both"/>
      </w:pPr>
      <w:r w:rsidRPr="007469A1">
        <w:t>On behalf of our clients, who were adamant that the Pork Council should not be at the table—this was not about them, it was about DEQ’s responsibility to protect the environment and health and safety of the people of North Carolina—we said no, there’s no place for you here.</w:t>
      </w:r>
      <w:r w:rsidR="003515DF">
        <w:rPr>
          <w:rStyle w:val="FootnoteReference"/>
        </w:rPr>
        <w:footnoteReference w:id="207"/>
      </w:r>
    </w:p>
    <w:p w14:paraId="19A46CAF" w14:textId="77777777" w:rsidR="0052363A" w:rsidRDefault="0052363A" w:rsidP="00C24768">
      <w:pPr>
        <w:ind w:right="1440"/>
        <w:jc w:val="both"/>
      </w:pPr>
    </w:p>
    <w:p w14:paraId="3FB7584D" w14:textId="3A2E4247" w:rsidR="00C24768" w:rsidRDefault="007469A1" w:rsidP="007469A1">
      <w:pPr>
        <w:spacing w:line="480" w:lineRule="auto"/>
        <w:jc w:val="both"/>
      </w:pPr>
      <w:r>
        <w:t xml:space="preserve">Nonetheless, the National Pork Council and the </w:t>
      </w:r>
      <w:r w:rsidR="00210A21">
        <w:t xml:space="preserve">North Carolina Pork Council </w:t>
      </w:r>
      <w:r>
        <w:t>appear</w:t>
      </w:r>
      <w:r w:rsidR="00210A21">
        <w:t>ed</w:t>
      </w:r>
      <w:r>
        <w:t xml:space="preserve"> at the session, and DEQ made it clear that the agency </w:t>
      </w:r>
      <w:r w:rsidR="00210A21">
        <w:t>supported their presence during</w:t>
      </w:r>
      <w:r>
        <w:t xml:space="preserve"> negotiations.</w:t>
      </w:r>
      <w:r>
        <w:rPr>
          <w:rStyle w:val="FootnoteReference"/>
        </w:rPr>
        <w:footnoteReference w:id="208"/>
      </w:r>
      <w:r w:rsidR="00A17DFE">
        <w:t xml:space="preserve"> </w:t>
      </w:r>
      <w:proofErr w:type="spellStart"/>
      <w:r w:rsidR="00371640">
        <w:t>Earthjustice</w:t>
      </w:r>
      <w:proofErr w:type="spellEnd"/>
      <w:r w:rsidR="00371640">
        <w:t xml:space="preserve"> attorney Elizabeth </w:t>
      </w:r>
      <w:proofErr w:type="spellStart"/>
      <w:r w:rsidR="00371640" w:rsidRPr="00371640">
        <w:t>Lado</w:t>
      </w:r>
      <w:proofErr w:type="spellEnd"/>
      <w:r w:rsidR="00371640" w:rsidRPr="00371640">
        <w:t xml:space="preserve"> </w:t>
      </w:r>
      <w:r w:rsidR="00371640">
        <w:t>declined to</w:t>
      </w:r>
      <w:r w:rsidR="00371640" w:rsidRPr="00371640">
        <w:t xml:space="preserve"> </w:t>
      </w:r>
      <w:r w:rsidR="00371640">
        <w:t>“</w:t>
      </w:r>
      <w:r w:rsidR="00371640" w:rsidRPr="00371640">
        <w:t>speculate on whether DEQ told the pork councils about the mediat</w:t>
      </w:r>
      <w:r w:rsidR="00371640">
        <w:t>ion, but added that the agency ‘</w:t>
      </w:r>
      <w:r w:rsidR="00371640" w:rsidRPr="00371640">
        <w:t>tried to normalize the problem and suggest that it was acceptable for pork councils to be there. [DEQ] didn’t act surprised that they were there.</w:t>
      </w:r>
      <w:r w:rsidR="00371640">
        <w:t>’</w:t>
      </w:r>
      <w:r w:rsidR="00371640" w:rsidRPr="00371640">
        <w:t>”</w:t>
      </w:r>
      <w:r w:rsidR="00371640">
        <w:rPr>
          <w:rStyle w:val="FootnoteReference"/>
        </w:rPr>
        <w:footnoteReference w:id="209"/>
      </w:r>
      <w:r w:rsidR="00371640">
        <w:t xml:space="preserve"> </w:t>
      </w:r>
      <w:r w:rsidR="00C93775">
        <w:t>The Citizens were concerned about exposing the identities of the community representatives present at the meeting, due to the pork industry’s long history of intimidating residents.</w:t>
      </w:r>
      <w:r w:rsidR="00C93775">
        <w:rPr>
          <w:rStyle w:val="FootnoteReference"/>
        </w:rPr>
        <w:footnoteReference w:id="210"/>
      </w:r>
      <w:r w:rsidR="00C93775">
        <w:t xml:space="preserve"> </w:t>
      </w:r>
      <w:r w:rsidR="00A17DFE">
        <w:t xml:space="preserve">The Citizens withdrew from mediation </w:t>
      </w:r>
      <w:r w:rsidR="00AB5B96">
        <w:t xml:space="preserve">in March 2016 </w:t>
      </w:r>
      <w:r w:rsidR="00A17DFE">
        <w:t>and the negotiations broke down.</w:t>
      </w:r>
      <w:r w:rsidR="00A17DFE">
        <w:rPr>
          <w:rStyle w:val="FootnoteReference"/>
        </w:rPr>
        <w:footnoteReference w:id="211"/>
      </w:r>
    </w:p>
    <w:p w14:paraId="44C267F9" w14:textId="54DF8DAB" w:rsidR="00104651" w:rsidRDefault="00202FC9" w:rsidP="00210A21">
      <w:pPr>
        <w:spacing w:line="480" w:lineRule="auto"/>
        <w:jc w:val="both"/>
      </w:pPr>
      <w:r>
        <w:tab/>
        <w:t xml:space="preserve">In May 2015, ECRCO </w:t>
      </w:r>
      <w:r w:rsidR="00210A21">
        <w:t>reinstated its DEQ investigation.</w:t>
      </w:r>
      <w:r w:rsidR="00210A21">
        <w:rPr>
          <w:rStyle w:val="FootnoteReference"/>
        </w:rPr>
        <w:footnoteReference w:id="212"/>
      </w:r>
      <w:r w:rsidR="00210A21">
        <w:t xml:space="preserve"> The Citizens filed an additional complaint</w:t>
      </w:r>
      <w:r w:rsidR="002B2BE0">
        <w:t xml:space="preserve"> (Second Complaint)</w:t>
      </w:r>
      <w:r w:rsidR="002B2BE0">
        <w:rPr>
          <w:rStyle w:val="FootnoteReference"/>
        </w:rPr>
        <w:footnoteReference w:id="213"/>
      </w:r>
      <w:r w:rsidR="00210A21">
        <w:t xml:space="preserve"> against DEQ in July, alleging that</w:t>
      </w:r>
      <w:r w:rsidR="002D250B">
        <w:t xml:space="preserve"> the agency “engaged in and failed to protect </w:t>
      </w:r>
      <w:r w:rsidR="001A00E8">
        <w:t>[the Citizens]</w:t>
      </w:r>
      <w:r w:rsidR="002D250B">
        <w:t xml:space="preserve"> from intimidation, which is prohibited by Title VI and EPA regulations, 40 C.F.R. § 7.100.”</w:t>
      </w:r>
      <w:r w:rsidR="002D250B">
        <w:rPr>
          <w:rStyle w:val="FootnoteReference"/>
        </w:rPr>
        <w:footnoteReference w:id="214"/>
      </w:r>
      <w:r w:rsidR="00C93775">
        <w:t xml:space="preserve"> T</w:t>
      </w:r>
      <w:r w:rsidR="00781AFE">
        <w:t xml:space="preserve">he letter </w:t>
      </w:r>
      <w:r w:rsidR="00C93775">
        <w:t>discussed the long history of the pork industry using intimidation tactics against residents of eastern North Carolina.</w:t>
      </w:r>
      <w:r w:rsidR="00C93775">
        <w:rPr>
          <w:rStyle w:val="FootnoteReference"/>
        </w:rPr>
        <w:footnoteReference w:id="215"/>
      </w:r>
      <w:r w:rsidR="00C93775">
        <w:t xml:space="preserve"> </w:t>
      </w:r>
      <w:r w:rsidR="00104651">
        <w:t>In August,</w:t>
      </w:r>
      <w:r>
        <w:t xml:space="preserve"> ECRCO</w:t>
      </w:r>
      <w:r w:rsidR="00F3085D">
        <w:t xml:space="preserve"> agreed to investigate DEQ based on the Second Complaint.</w:t>
      </w:r>
      <w:r w:rsidR="00F3085D">
        <w:rPr>
          <w:rStyle w:val="FootnoteReference"/>
        </w:rPr>
        <w:footnoteReference w:id="216"/>
      </w:r>
      <w:r w:rsidR="00F3085D">
        <w:t xml:space="preserve"> DEQ requested that the original complaint be dismissed, but </w:t>
      </w:r>
      <w:r>
        <w:t>ECRCO</w:t>
      </w:r>
      <w:r w:rsidR="00F3085D">
        <w:t xml:space="preserve"> declined to do so.</w:t>
      </w:r>
      <w:r w:rsidR="00F3085D">
        <w:rPr>
          <w:rStyle w:val="FootnoteReference"/>
        </w:rPr>
        <w:footnoteReference w:id="217"/>
      </w:r>
      <w:r w:rsidR="007130C6">
        <w:t xml:space="preserve"> </w:t>
      </w:r>
      <w:r w:rsidR="00104651">
        <w:t xml:space="preserve">In October, </w:t>
      </w:r>
      <w:r w:rsidR="006C73AB">
        <w:t>twenty community representatives drove to Washington</w:t>
      </w:r>
      <w:r w:rsidR="00147C28">
        <w:t>,</w:t>
      </w:r>
      <w:r w:rsidR="006C73AB">
        <w:t xml:space="preserve"> D.C. to share their story with EPA and members of Congress.</w:t>
      </w:r>
      <w:r w:rsidR="006C73AB">
        <w:rPr>
          <w:rStyle w:val="FootnoteReference"/>
        </w:rPr>
        <w:footnoteReference w:id="218"/>
      </w:r>
      <w:r w:rsidR="006C73AB">
        <w:t xml:space="preserve"> A month later, officials from </w:t>
      </w:r>
      <w:r>
        <w:t>ECRCO</w:t>
      </w:r>
      <w:r w:rsidR="006C73AB">
        <w:t xml:space="preserve"> toured the area and listened to residents w</w:t>
      </w:r>
      <w:r w:rsidR="00D01990">
        <w:t xml:space="preserve">ith Senator Cory Booker, </w:t>
      </w:r>
      <w:r w:rsidR="006C73AB">
        <w:t>a member of the Senate Environment and Public Works Committee.</w:t>
      </w:r>
      <w:r w:rsidR="006C73AB">
        <w:rPr>
          <w:rStyle w:val="FootnoteReference"/>
        </w:rPr>
        <w:footnoteReference w:id="219"/>
      </w:r>
    </w:p>
    <w:p w14:paraId="1D256C45" w14:textId="10A3EC02" w:rsidR="00C24768" w:rsidRDefault="007130C6" w:rsidP="00104651">
      <w:pPr>
        <w:spacing w:line="480" w:lineRule="auto"/>
        <w:ind w:firstLine="720"/>
        <w:jc w:val="both"/>
      </w:pPr>
      <w:r>
        <w:t xml:space="preserve">Finally, in </w:t>
      </w:r>
      <w:r w:rsidR="00104651">
        <w:t xml:space="preserve">January of 2017, </w:t>
      </w:r>
      <w:r w:rsidR="008B2818">
        <w:t xml:space="preserve">the </w:t>
      </w:r>
      <w:r w:rsidR="00E5518A">
        <w:t>ECRCO</w:t>
      </w:r>
      <w:r w:rsidR="008B2818">
        <w:t xml:space="preserve"> took an “unprecedented step”</w:t>
      </w:r>
      <w:r w:rsidR="008B2818">
        <w:rPr>
          <w:rStyle w:val="FootnoteReference"/>
        </w:rPr>
        <w:footnoteReference w:id="220"/>
      </w:r>
      <w:r w:rsidR="008B2818">
        <w:t xml:space="preserve"> and</w:t>
      </w:r>
      <w:r w:rsidR="00104651">
        <w:t xml:space="preserve"> sent an official </w:t>
      </w:r>
      <w:r w:rsidR="00E41DBF">
        <w:t>Letter of Concern</w:t>
      </w:r>
      <w:r w:rsidR="00104651">
        <w:t xml:space="preserve"> to DEQ</w:t>
      </w:r>
      <w:r w:rsidR="00E41DBF">
        <w:t>.</w:t>
      </w:r>
      <w:r w:rsidR="00E41DBF">
        <w:rPr>
          <w:rStyle w:val="FootnoteReference"/>
        </w:rPr>
        <w:footnoteReference w:id="221"/>
      </w:r>
      <w:r w:rsidR="008B2818">
        <w:t xml:space="preserve"> In the letter, the </w:t>
      </w:r>
      <w:r w:rsidR="00E5518A">
        <w:t>ECRCO</w:t>
      </w:r>
      <w:r w:rsidR="008B2818">
        <w:t xml:space="preserve"> </w:t>
      </w:r>
      <w:r w:rsidR="00946A6B">
        <w:t>expressed “deep concern about the possibility that African Americans, Latinos, and Native Americans have been subjected to discrimination as the result of NC DEQ’s operation of the Swine Waste General Permit program, including the 2014 renewal of the Swine Waste General Permit.”</w:t>
      </w:r>
      <w:r w:rsidR="00946A6B">
        <w:rPr>
          <w:rStyle w:val="FootnoteReference"/>
        </w:rPr>
        <w:footnoteReference w:id="222"/>
      </w:r>
      <w:r w:rsidR="00946A6B">
        <w:t xml:space="preserve"> E</w:t>
      </w:r>
      <w:r w:rsidR="00E5518A">
        <w:t>CRCO</w:t>
      </w:r>
      <w:r w:rsidR="00946A6B">
        <w:t xml:space="preserve"> also expressed “grave concerns about these reports indicating a potential hostile and intimidating environment for anyone seeking to provide relevant information to NC DEQ or EPA.”</w:t>
      </w:r>
      <w:r w:rsidR="00946A6B">
        <w:rPr>
          <w:rStyle w:val="FootnoteReference"/>
        </w:rPr>
        <w:footnoteReference w:id="223"/>
      </w:r>
      <w:r w:rsidR="00946A6B">
        <w:t xml:space="preserve"> </w:t>
      </w:r>
      <w:r w:rsidR="00272DED">
        <w:t>E</w:t>
      </w:r>
      <w:r w:rsidR="00E5518A">
        <w:t>CRCO</w:t>
      </w:r>
      <w:r w:rsidR="00272DED">
        <w:t xml:space="preserve"> made several recommendations to DEQ:</w:t>
      </w:r>
    </w:p>
    <w:p w14:paraId="1D49E885" w14:textId="77777777" w:rsidR="00272DED" w:rsidRPr="00272DED" w:rsidRDefault="00272DED" w:rsidP="00272DED">
      <w:pPr>
        <w:numPr>
          <w:ilvl w:val="0"/>
          <w:numId w:val="24"/>
        </w:numPr>
        <w:ind w:left="1440" w:right="1440"/>
        <w:jc w:val="both"/>
      </w:pPr>
      <w:r w:rsidRPr="00272DED">
        <w:t>Assess the Swine Waste General Permit to determine how it should be changed to substantially reduce impacts on nearby residents. The EPA also asked for a timeline.</w:t>
      </w:r>
    </w:p>
    <w:p w14:paraId="3769EB4B" w14:textId="77777777" w:rsidR="00272DED" w:rsidRPr="00272DED" w:rsidRDefault="00272DED" w:rsidP="00272DED">
      <w:pPr>
        <w:numPr>
          <w:ilvl w:val="0"/>
          <w:numId w:val="24"/>
        </w:numPr>
        <w:ind w:left="1440" w:right="1440"/>
        <w:jc w:val="both"/>
      </w:pPr>
      <w:r w:rsidRPr="00272DED">
        <w:t>Assess current regulations on industrialized hog farms and determined what could be changed. If the DEQ claims it doesn’t have the authority to change a rule, it needs to show evidence of the impediment.</w:t>
      </w:r>
    </w:p>
    <w:p w14:paraId="75745FD4" w14:textId="77777777" w:rsidR="00272DED" w:rsidRPr="00272DED" w:rsidRDefault="00272DED" w:rsidP="00272DED">
      <w:pPr>
        <w:numPr>
          <w:ilvl w:val="0"/>
          <w:numId w:val="24"/>
        </w:numPr>
        <w:ind w:left="1440" w:right="1440"/>
        <w:jc w:val="both"/>
      </w:pPr>
      <w:r w:rsidRPr="00272DED">
        <w:t>Evaluate risk management options, such as covering the lagoons, not using dead boxes [a holding pen for hog carcasses] and not spraying on the weekends.</w:t>
      </w:r>
    </w:p>
    <w:p w14:paraId="0C8D4214" w14:textId="77777777" w:rsidR="00272DED" w:rsidRPr="00272DED" w:rsidRDefault="00272DED" w:rsidP="00272DED">
      <w:pPr>
        <w:numPr>
          <w:ilvl w:val="0"/>
          <w:numId w:val="24"/>
        </w:numPr>
        <w:ind w:left="1440" w:right="1440"/>
        <w:jc w:val="both"/>
      </w:pPr>
      <w:r w:rsidRPr="00272DED">
        <w:t>Assess current swine waste technologies and what could be adopted</w:t>
      </w:r>
    </w:p>
    <w:p w14:paraId="4ED71E5C" w14:textId="77777777" w:rsidR="00272DED" w:rsidRDefault="00272DED" w:rsidP="00272DED">
      <w:pPr>
        <w:numPr>
          <w:ilvl w:val="0"/>
          <w:numId w:val="24"/>
        </w:numPr>
        <w:ind w:left="1440" w:right="1440"/>
        <w:jc w:val="both"/>
      </w:pPr>
      <w:r w:rsidRPr="00272DED">
        <w:t>Conduct an internal evaluation of DEQ’s enforcement and compliance of industrialized hog farms. If corrective measures are needed, deliver a timetable to do so.</w:t>
      </w:r>
    </w:p>
    <w:p w14:paraId="1E8B99B5" w14:textId="4F90F74C" w:rsidR="00272DED" w:rsidRDefault="00272DED" w:rsidP="00272DED">
      <w:pPr>
        <w:numPr>
          <w:ilvl w:val="0"/>
          <w:numId w:val="24"/>
        </w:numPr>
        <w:ind w:left="1440" w:right="1440"/>
        <w:jc w:val="both"/>
      </w:pPr>
      <w:r w:rsidRPr="00272DED">
        <w:t xml:space="preserve">Evaluate its non-discrimination program if </w:t>
      </w:r>
      <w:proofErr w:type="gramStart"/>
      <w:r w:rsidRPr="00272DED">
        <w:t>its</w:t>
      </w:r>
      <w:proofErr w:type="gramEnd"/>
      <w:r w:rsidR="003C5666">
        <w:t xml:space="preserve"> [sic]</w:t>
      </w:r>
      <w:r w:rsidRPr="00272DED">
        <w:t xml:space="preserve"> in place, using a federal checklist. If the program hasn’t been established, DEQ is to correct the deficiencies.</w:t>
      </w:r>
      <w:r>
        <w:rPr>
          <w:rStyle w:val="FootnoteReference"/>
        </w:rPr>
        <w:footnoteReference w:id="224"/>
      </w:r>
    </w:p>
    <w:p w14:paraId="0892BA52" w14:textId="77777777" w:rsidR="00272DED" w:rsidRDefault="00272DED" w:rsidP="00272DED">
      <w:pPr>
        <w:ind w:left="1440" w:right="1440"/>
        <w:jc w:val="both"/>
      </w:pPr>
    </w:p>
    <w:p w14:paraId="345BD223" w14:textId="535FD72D" w:rsidR="00272DED" w:rsidRPr="00272DED" w:rsidRDefault="008B2ACE" w:rsidP="00635298">
      <w:pPr>
        <w:spacing w:line="480" w:lineRule="auto"/>
        <w:jc w:val="both"/>
      </w:pPr>
      <w:r>
        <w:t xml:space="preserve">While the Letter of Concern is not the firm decision that </w:t>
      </w:r>
      <w:r w:rsidR="00635298">
        <w:t>community members had hoped to receive, they are pleased that people are taking notice of the community’s plight.</w:t>
      </w:r>
      <w:r w:rsidR="00635298">
        <w:rPr>
          <w:rStyle w:val="FootnoteReference"/>
        </w:rPr>
        <w:footnoteReference w:id="225"/>
      </w:r>
      <w:r w:rsidR="00635298">
        <w:t xml:space="preserve"> And there is reason to remain hopeful: “the agency’s pointed, harsh letter and its ongoing investigation</w:t>
      </w:r>
      <w:r w:rsidR="00635298" w:rsidRPr="00424191">
        <w:t>—</w:t>
      </w:r>
      <w:r w:rsidR="00635298">
        <w:t>plus a new administration at DEQ</w:t>
      </w:r>
      <w:r w:rsidR="00635298" w:rsidRPr="00424191">
        <w:t>—</w:t>
      </w:r>
      <w:r w:rsidR="00635298">
        <w:t>could tip the scales toward environmental justice.”</w:t>
      </w:r>
      <w:r w:rsidR="00635298">
        <w:rPr>
          <w:rStyle w:val="FootnoteReference"/>
        </w:rPr>
        <w:footnoteReference w:id="226"/>
      </w:r>
    </w:p>
    <w:p w14:paraId="25B56469" w14:textId="3D444286" w:rsidR="00FD629B" w:rsidRPr="00152090" w:rsidRDefault="001977D3" w:rsidP="006873ED">
      <w:pPr>
        <w:spacing w:line="480" w:lineRule="auto"/>
        <w:rPr>
          <w:b/>
        </w:rPr>
      </w:pPr>
      <w:r>
        <w:rPr>
          <w:b/>
          <w:i/>
        </w:rPr>
        <w:t>C</w:t>
      </w:r>
      <w:r w:rsidR="006873ED">
        <w:rPr>
          <w:b/>
          <w:i/>
        </w:rPr>
        <w:t>.</w:t>
      </w:r>
      <w:r w:rsidR="006873ED">
        <w:rPr>
          <w:b/>
          <w:i/>
        </w:rPr>
        <w:tab/>
      </w:r>
      <w:r w:rsidR="005D7A07">
        <w:rPr>
          <w:b/>
          <w:i/>
        </w:rPr>
        <w:t>Moving Forward In a Time of Uncertainty</w:t>
      </w:r>
      <w:r w:rsidR="006873ED">
        <w:rPr>
          <w:b/>
          <w:i/>
        </w:rPr>
        <w:t xml:space="preserve"> </w:t>
      </w:r>
      <w:r w:rsidR="00152090">
        <w:rPr>
          <w:b/>
        </w:rPr>
        <w:t>(</w:t>
      </w:r>
      <w:r w:rsidR="00152090" w:rsidRPr="00152090">
        <w:rPr>
          <w:b/>
          <w:i/>
        </w:rPr>
        <w:t>STILL IN PROGRESS</w:t>
      </w:r>
      <w:r w:rsidR="00152090">
        <w:rPr>
          <w:b/>
        </w:rPr>
        <w:t>)</w:t>
      </w:r>
    </w:p>
    <w:p w14:paraId="3D7B24CE" w14:textId="4A3DB6AE" w:rsidR="008D558F" w:rsidRDefault="008D558F" w:rsidP="008D558F">
      <w:pPr>
        <w:spacing w:line="480" w:lineRule="auto"/>
        <w:ind w:firstLine="720"/>
        <w:jc w:val="both"/>
      </w:pPr>
      <w:r w:rsidRPr="00594EAD">
        <w:t xml:space="preserve">In November 2016, Donald J. Trump was </w:t>
      </w:r>
      <w:r>
        <w:t xml:space="preserve">declared the victor of the 2016 United States Presidential Election. At the same time, both houses of Congress fell into Republican domination. Both the Executive and Legislative branches of the federal government </w:t>
      </w:r>
      <w:r w:rsidR="00540E75">
        <w:t xml:space="preserve">seek to greatly reduce or eliminate </w:t>
      </w:r>
      <w:r w:rsidR="00F02557">
        <w:t xml:space="preserve">the </w:t>
      </w:r>
      <w:r w:rsidR="00540E75">
        <w:t>EPA</w:t>
      </w:r>
      <w:r w:rsidR="007E671F">
        <w:t>, and the</w:t>
      </w:r>
      <w:r w:rsidR="00F02557">
        <w:t xml:space="preserve"> </w:t>
      </w:r>
      <w:r w:rsidR="00540E75">
        <w:t>President’s budget proposal includes a</w:t>
      </w:r>
      <w:r w:rsidR="007E671F">
        <w:t>n</w:t>
      </w:r>
      <w:r w:rsidR="00540E75">
        <w:t xml:space="preserve"> </w:t>
      </w:r>
      <w:r w:rsidR="007E671F">
        <w:t xml:space="preserve">External Civil Rights Compliance Office </w:t>
      </w:r>
      <w:r w:rsidR="00540E75">
        <w:t>reduction of $268,000 and 11 full time employees.</w:t>
      </w:r>
      <w:r w:rsidR="00540E75">
        <w:rPr>
          <w:rStyle w:val="FootnoteReference"/>
        </w:rPr>
        <w:footnoteReference w:id="227"/>
      </w:r>
      <w:r w:rsidR="00540E75">
        <w:t xml:space="preserve"> </w:t>
      </w:r>
      <w:r>
        <w:t xml:space="preserve"> </w:t>
      </w:r>
      <w:r w:rsidR="00E30319">
        <w:t>The E</w:t>
      </w:r>
      <w:r w:rsidR="00540E75">
        <w:t xml:space="preserve">PA has issued a plan </w:t>
      </w:r>
      <w:r w:rsidR="00C12568">
        <w:t xml:space="preserve">to lay </w:t>
      </w:r>
      <w:r w:rsidR="00540E75">
        <w:t>off 24% of its employe</w:t>
      </w:r>
      <w:r w:rsidR="00C12568">
        <w:t>es and eliminate</w:t>
      </w:r>
      <w:r w:rsidR="00540E75">
        <w:t xml:space="preserve"> 56 programs.</w:t>
      </w:r>
      <w:r w:rsidR="00540E75">
        <w:rPr>
          <w:rStyle w:val="FootnoteReference"/>
        </w:rPr>
        <w:footnoteReference w:id="228"/>
      </w:r>
      <w:r w:rsidR="00540E75">
        <w:t xml:space="preserve"> </w:t>
      </w:r>
      <w:r w:rsidR="007E671F">
        <w:t xml:space="preserve">Thus, it may be necessary for communities seeking to protect themselves from CAFOs to focus on state law for the foreseeable future.  </w:t>
      </w:r>
    </w:p>
    <w:p w14:paraId="3F57CEB9" w14:textId="30EF43E4" w:rsidR="00E30319" w:rsidRDefault="00E30319" w:rsidP="008D558F">
      <w:pPr>
        <w:spacing w:line="480" w:lineRule="auto"/>
        <w:ind w:firstLine="720"/>
        <w:jc w:val="both"/>
      </w:pPr>
      <w:r>
        <w:t xml:space="preserve">North Carolina is an ideal state for such action. The community has succeeded in generating tremendous publicity, which will make it more difficult for state legislators and DEQ to continue to ignore their pleas. </w:t>
      </w:r>
      <w:r w:rsidR="00F57B53">
        <w:t>Roy Cooper, a Democrat</w:t>
      </w:r>
      <w:r w:rsidR="00A541F4">
        <w:t xml:space="preserve"> and former Attorney General of North Carolina</w:t>
      </w:r>
      <w:r w:rsidR="00F57B53">
        <w:t xml:space="preserve">, unseated Pat </w:t>
      </w:r>
      <w:proofErr w:type="spellStart"/>
      <w:r w:rsidR="00F57B53">
        <w:t>McCrory</w:t>
      </w:r>
      <w:proofErr w:type="spellEnd"/>
      <w:r w:rsidR="00F57B53">
        <w:t xml:space="preserve"> </w:t>
      </w:r>
      <w:r w:rsidR="00A541F4">
        <w:t>in the state’s</w:t>
      </w:r>
      <w:r w:rsidR="00F57B53">
        <w:t xml:space="preserve"> 2016 gubernatorial race.</w:t>
      </w:r>
      <w:r w:rsidR="0009035C">
        <w:rPr>
          <w:rStyle w:val="FootnoteReference"/>
        </w:rPr>
        <w:footnoteReference w:id="229"/>
      </w:r>
      <w:r w:rsidR="00A541F4">
        <w:t xml:space="preserve"> This change may give community members the toe-hold they need to tak</w:t>
      </w:r>
      <w:r w:rsidR="00C12568">
        <w:t>e back their state from Big Ag, even if EPA fails them going forward.</w:t>
      </w:r>
    </w:p>
    <w:p w14:paraId="071CD639" w14:textId="0602676B" w:rsidR="006873ED" w:rsidRDefault="007172E1" w:rsidP="00272E26">
      <w:pPr>
        <w:spacing w:line="480" w:lineRule="auto"/>
        <w:ind w:firstLine="720"/>
        <w:jc w:val="both"/>
        <w:rPr>
          <w:b/>
        </w:rPr>
      </w:pPr>
      <w:r>
        <w:t xml:space="preserve">There are several ways that community members could start the state fight. First, they could campaign to repeal the so-called “right-to-farm” law and the </w:t>
      </w:r>
      <w:proofErr w:type="spellStart"/>
      <w:r>
        <w:t>ag</w:t>
      </w:r>
      <w:proofErr w:type="spellEnd"/>
      <w:r>
        <w:t xml:space="preserve">-gag law. Second, they could continue to exert pressure on DEQ to update the General Permit and ban lagoon and </w:t>
      </w:r>
      <w:proofErr w:type="spellStart"/>
      <w:r>
        <w:t>sprayfield</w:t>
      </w:r>
      <w:proofErr w:type="spellEnd"/>
      <w:r>
        <w:t xml:space="preserve"> waste management systems.</w:t>
      </w:r>
      <w:r w:rsidR="006B5C7D">
        <w:t xml:space="preserve"> In the </w:t>
      </w:r>
      <w:r w:rsidR="00272E26">
        <w:t xml:space="preserve">(weaker) </w:t>
      </w:r>
      <w:r w:rsidR="006B5C7D">
        <w:t xml:space="preserve">alternative, they could campaign for lagoons to be covered and for </w:t>
      </w:r>
      <w:proofErr w:type="spellStart"/>
      <w:r w:rsidR="00272E26">
        <w:t>sprayfields</w:t>
      </w:r>
      <w:proofErr w:type="spellEnd"/>
      <w:r w:rsidR="00272E26">
        <w:t xml:space="preserve"> to be rigorously inspected to avoid runoff. </w:t>
      </w:r>
      <w:r>
        <w:t xml:space="preserve">Third, they could </w:t>
      </w:r>
      <w:r w:rsidR="00272E26">
        <w:t xml:space="preserve">petition the DEQ to establish an environmental justice department to ensure North Carolina’s compliance with Title VI. </w:t>
      </w:r>
    </w:p>
    <w:p w14:paraId="399E1323" w14:textId="6E0E7FA8" w:rsidR="00296E3F" w:rsidRPr="00152090" w:rsidRDefault="00296E3F" w:rsidP="006873ED">
      <w:pPr>
        <w:spacing w:line="480" w:lineRule="auto"/>
        <w:rPr>
          <w:b/>
          <w:sz w:val="26"/>
          <w:szCs w:val="26"/>
        </w:rPr>
      </w:pPr>
      <w:r w:rsidRPr="00296E3F">
        <w:rPr>
          <w:b/>
          <w:sz w:val="26"/>
          <w:szCs w:val="26"/>
        </w:rPr>
        <w:t>VI.</w:t>
      </w:r>
      <w:r w:rsidRPr="00296E3F">
        <w:rPr>
          <w:b/>
          <w:sz w:val="26"/>
          <w:szCs w:val="26"/>
        </w:rPr>
        <w:tab/>
        <w:t>Conclusion</w:t>
      </w:r>
      <w:r w:rsidR="00152090">
        <w:rPr>
          <w:b/>
          <w:sz w:val="26"/>
          <w:szCs w:val="26"/>
        </w:rPr>
        <w:t xml:space="preserve"> (</w:t>
      </w:r>
      <w:r w:rsidR="00152090">
        <w:rPr>
          <w:b/>
          <w:i/>
          <w:sz w:val="26"/>
          <w:szCs w:val="26"/>
        </w:rPr>
        <w:t>STILL IN PROGRESS</w:t>
      </w:r>
      <w:r w:rsidR="00152090">
        <w:rPr>
          <w:b/>
          <w:sz w:val="26"/>
          <w:szCs w:val="26"/>
        </w:rPr>
        <w:t>)</w:t>
      </w:r>
    </w:p>
    <w:p w14:paraId="03D5E115" w14:textId="1D866ABD" w:rsidR="00733D5A" w:rsidRPr="001729ED" w:rsidRDefault="00157A4B" w:rsidP="001729ED">
      <w:pPr>
        <w:spacing w:line="480" w:lineRule="auto"/>
        <w:jc w:val="both"/>
        <w:rPr>
          <w:szCs w:val="26"/>
        </w:rPr>
      </w:pPr>
      <w:r>
        <w:rPr>
          <w:szCs w:val="26"/>
        </w:rPr>
        <w:tab/>
        <w:t>CAFOs are major polluters that exploit and endanger the vulnerable communities they occupy. They must be treated as such</w:t>
      </w:r>
      <w:r w:rsidR="00A56AED">
        <w:rPr>
          <w:szCs w:val="26"/>
        </w:rPr>
        <w:t xml:space="preserve"> at both the federal and state levels</w:t>
      </w:r>
      <w:r>
        <w:rPr>
          <w:szCs w:val="26"/>
        </w:rPr>
        <w:t xml:space="preserve">. </w:t>
      </w:r>
      <w:r w:rsidR="00316EE3">
        <w:rPr>
          <w:szCs w:val="26"/>
        </w:rPr>
        <w:t>CAFOs should be strictly regulated as major air and water polluters</w:t>
      </w:r>
      <w:r w:rsidR="008E4E32">
        <w:rPr>
          <w:szCs w:val="26"/>
        </w:rPr>
        <w:t xml:space="preserve"> and should be subject to strict siting regulations that protect vulnerable communities</w:t>
      </w:r>
      <w:r w:rsidR="00316EE3">
        <w:rPr>
          <w:szCs w:val="26"/>
        </w:rPr>
        <w:t>.</w:t>
      </w:r>
      <w:r w:rsidR="006A52F0">
        <w:rPr>
          <w:szCs w:val="26"/>
        </w:rPr>
        <w:t xml:space="preserve"> </w:t>
      </w:r>
    </w:p>
    <w:sectPr w:rsidR="00733D5A" w:rsidRPr="001729ED" w:rsidSect="00753B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BC3F" w14:textId="77777777" w:rsidR="0084636B" w:rsidRDefault="0084636B" w:rsidP="00606DC1">
      <w:r>
        <w:separator/>
      </w:r>
    </w:p>
  </w:endnote>
  <w:endnote w:type="continuationSeparator" w:id="0">
    <w:p w14:paraId="78959AE8" w14:textId="77777777" w:rsidR="0084636B" w:rsidRDefault="0084636B" w:rsidP="0060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5B5AC" w14:textId="77777777" w:rsidR="0084636B" w:rsidRDefault="0084636B" w:rsidP="00753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57250F" w14:textId="77777777" w:rsidR="0084636B" w:rsidRDefault="008463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6F860" w14:textId="77777777" w:rsidR="0084636B" w:rsidRDefault="0084636B" w:rsidP="00753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10F">
      <w:rPr>
        <w:rStyle w:val="PageNumber"/>
        <w:noProof/>
      </w:rPr>
      <w:t>38</w:t>
    </w:r>
    <w:r>
      <w:rPr>
        <w:rStyle w:val="PageNumber"/>
      </w:rPr>
      <w:fldChar w:fldCharType="end"/>
    </w:r>
  </w:p>
  <w:p w14:paraId="4D740169" w14:textId="77777777" w:rsidR="0084636B" w:rsidRDefault="008463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497646" w14:textId="77777777" w:rsidR="0084636B" w:rsidRDefault="008463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8FC6" w14:textId="77777777" w:rsidR="0084636B" w:rsidRDefault="0084636B" w:rsidP="00606DC1">
      <w:r>
        <w:separator/>
      </w:r>
    </w:p>
  </w:footnote>
  <w:footnote w:type="continuationSeparator" w:id="0">
    <w:p w14:paraId="2110DCAD" w14:textId="77777777" w:rsidR="0084636B" w:rsidRDefault="0084636B" w:rsidP="00606DC1">
      <w:r>
        <w:continuationSeparator/>
      </w:r>
    </w:p>
  </w:footnote>
  <w:footnote w:id="1">
    <w:p w14:paraId="1D1A000B" w14:textId="515827E7" w:rsidR="0084636B" w:rsidRDefault="0084636B" w:rsidP="002340A3">
      <w:pPr>
        <w:pStyle w:val="FootnoteText"/>
        <w:spacing w:before="60"/>
        <w:jc w:val="both"/>
      </w:pPr>
      <w:r>
        <w:rPr>
          <w:rStyle w:val="FootnoteReference"/>
        </w:rPr>
        <w:footnoteRef/>
      </w:r>
      <w:r>
        <w:t xml:space="preserve"> </w:t>
      </w:r>
      <w:proofErr w:type="gramStart"/>
      <w:r w:rsidRPr="00B65791">
        <w:rPr>
          <w:sz w:val="20"/>
        </w:rPr>
        <w:t>40 C.F.R. § 122.23(b) (2012).</w:t>
      </w:r>
      <w:proofErr w:type="gramEnd"/>
    </w:p>
  </w:footnote>
  <w:footnote w:id="2">
    <w:p w14:paraId="09806CA8" w14:textId="54A9155A" w:rsidR="0084636B" w:rsidRPr="004A7E40" w:rsidRDefault="0084636B" w:rsidP="002340A3">
      <w:pPr>
        <w:pStyle w:val="FootnoteText"/>
        <w:spacing w:before="60"/>
        <w:jc w:val="both"/>
        <w:rPr>
          <w:sz w:val="20"/>
        </w:rPr>
      </w:pPr>
      <w:r>
        <w:rPr>
          <w:rStyle w:val="FootnoteReference"/>
        </w:rPr>
        <w:footnoteRef/>
      </w:r>
      <w:r>
        <w:t xml:space="preserve"> </w:t>
      </w:r>
      <w:r w:rsidRPr="00132072">
        <w:rPr>
          <w:i/>
          <w:sz w:val="20"/>
        </w:rPr>
        <w:t>Animal Feeding Operations</w:t>
      </w:r>
      <w:r w:rsidRPr="00132072">
        <w:rPr>
          <w:sz w:val="20"/>
        </w:rPr>
        <w:t xml:space="preserve">, </w:t>
      </w:r>
      <w:r w:rsidRPr="004A7E40">
        <w:rPr>
          <w:smallCaps/>
          <w:sz w:val="20"/>
          <w:szCs w:val="20"/>
        </w:rPr>
        <w:t>United States Department of Agriculture</w:t>
      </w:r>
      <w:r>
        <w:rPr>
          <w:sz w:val="20"/>
        </w:rPr>
        <w:t xml:space="preserve">, </w:t>
      </w:r>
      <w:r w:rsidRPr="004A7E40">
        <w:rPr>
          <w:sz w:val="20"/>
        </w:rPr>
        <w:t>https://www.nrcs.usda.gov/wps/</w:t>
      </w:r>
      <w:r>
        <w:rPr>
          <w:sz w:val="20"/>
        </w:rPr>
        <w:br/>
      </w:r>
      <w:r w:rsidRPr="004A7E40">
        <w:rPr>
          <w:sz w:val="20"/>
        </w:rPr>
        <w:t>portal/nrcs/main/national/plantsanimals/livestock/afo/</w:t>
      </w:r>
      <w:r>
        <w:rPr>
          <w:sz w:val="20"/>
        </w:rPr>
        <w:t xml:space="preserve"> (last visited Mar. 11, 2017).</w:t>
      </w:r>
    </w:p>
  </w:footnote>
  <w:footnote w:id="3">
    <w:p w14:paraId="4F277488" w14:textId="6BC8E2D2" w:rsidR="0084636B" w:rsidRPr="00B65791" w:rsidRDefault="0084636B" w:rsidP="00D25FBF">
      <w:pPr>
        <w:pStyle w:val="FootnoteText"/>
        <w:spacing w:before="60"/>
        <w:rPr>
          <w:i/>
        </w:rPr>
      </w:pPr>
      <w:r>
        <w:rPr>
          <w:rStyle w:val="FootnoteReference"/>
        </w:rPr>
        <w:footnoteRef/>
      </w:r>
      <w:r>
        <w:t xml:space="preserve"> </w:t>
      </w:r>
      <w:r w:rsidRPr="00B65791">
        <w:rPr>
          <w:i/>
          <w:sz w:val="20"/>
        </w:rPr>
        <w:t xml:space="preserve">Id. </w:t>
      </w:r>
    </w:p>
  </w:footnote>
  <w:footnote w:id="4">
    <w:p w14:paraId="50D04900" w14:textId="5421A163" w:rsidR="0084636B" w:rsidRDefault="0084636B" w:rsidP="00D25FBF">
      <w:pPr>
        <w:pStyle w:val="FootnoteText"/>
        <w:spacing w:before="60"/>
      </w:pPr>
      <w:r>
        <w:rPr>
          <w:rStyle w:val="FootnoteReference"/>
        </w:rPr>
        <w:footnoteRef/>
      </w:r>
      <w:r>
        <w:t xml:space="preserve"> </w:t>
      </w:r>
      <w:proofErr w:type="gramStart"/>
      <w:r>
        <w:rPr>
          <w:sz w:val="20"/>
        </w:rPr>
        <w:t>§ 122.23(c).</w:t>
      </w:r>
      <w:proofErr w:type="gramEnd"/>
    </w:p>
  </w:footnote>
  <w:footnote w:id="5">
    <w:p w14:paraId="61FCA59A" w14:textId="0B39A1DE" w:rsidR="0084636B" w:rsidRPr="005A5835" w:rsidRDefault="0084636B" w:rsidP="00D25FBF">
      <w:pPr>
        <w:pStyle w:val="FootnoteText"/>
        <w:spacing w:before="60"/>
        <w:jc w:val="both"/>
        <w:rPr>
          <w:sz w:val="20"/>
        </w:rPr>
      </w:pPr>
      <w:r>
        <w:rPr>
          <w:rStyle w:val="FootnoteReference"/>
        </w:rPr>
        <w:footnoteRef/>
      </w:r>
      <w:r>
        <w:t xml:space="preserve"> </w:t>
      </w:r>
      <w:r>
        <w:rPr>
          <w:sz w:val="20"/>
        </w:rPr>
        <w:t xml:space="preserve">A medium CAFO is one that has more than 200 mature dairy cows, 300 cows that are not dairy or veal cows, 750 pigs weighing at least 55 pounds, 3000 pigs weighing less than 55 pounds, 150 horses, or 9000 laying hens. </w:t>
      </w:r>
      <w:proofErr w:type="gramStart"/>
      <w:r>
        <w:rPr>
          <w:sz w:val="20"/>
        </w:rPr>
        <w:t>§ 122.23(b)(6).</w:t>
      </w:r>
      <w:proofErr w:type="gramEnd"/>
      <w:r>
        <w:rPr>
          <w:sz w:val="20"/>
        </w:rPr>
        <w:t xml:space="preserve"> A large CAFO is one that has 700 mature dairy cows, 1000 cows that are not dairy or veal cows, 2500 pigs weighing at least 55 pounds, 10,000 pigs weighing less than 55 pounds, or 500 horses. </w:t>
      </w:r>
      <w:proofErr w:type="gramStart"/>
      <w:r>
        <w:rPr>
          <w:sz w:val="20"/>
        </w:rPr>
        <w:t>§ 122.23(b)(4).</w:t>
      </w:r>
      <w:proofErr w:type="gramEnd"/>
      <w:r>
        <w:rPr>
          <w:sz w:val="20"/>
        </w:rPr>
        <w:t xml:space="preserve"> </w:t>
      </w:r>
    </w:p>
  </w:footnote>
  <w:footnote w:id="6">
    <w:p w14:paraId="52625FD9" w14:textId="134E7244" w:rsidR="0084636B" w:rsidRPr="00951820" w:rsidRDefault="0084636B" w:rsidP="00D25FBF">
      <w:pPr>
        <w:pStyle w:val="FootnoteText"/>
        <w:spacing w:before="60"/>
        <w:jc w:val="both"/>
        <w:rPr>
          <w:sz w:val="20"/>
          <w:szCs w:val="20"/>
        </w:rPr>
      </w:pPr>
      <w:r>
        <w:rPr>
          <w:rStyle w:val="FootnoteReference"/>
        </w:rPr>
        <w:footnoteRef/>
      </w:r>
      <w:r>
        <w:t xml:space="preserve"> </w:t>
      </w:r>
      <w:r w:rsidRPr="00D3067B">
        <w:rPr>
          <w:sz w:val="20"/>
          <w:szCs w:val="20"/>
        </w:rPr>
        <w:t xml:space="preserve">Liam H. Michener, </w:t>
      </w:r>
      <w:proofErr w:type="spellStart"/>
      <w:r w:rsidRPr="00D3067B">
        <w:rPr>
          <w:i/>
          <w:sz w:val="20"/>
          <w:szCs w:val="20"/>
        </w:rPr>
        <w:t>Meating</w:t>
      </w:r>
      <w:proofErr w:type="spellEnd"/>
      <w:r w:rsidRPr="00D3067B">
        <w:rPr>
          <w:i/>
          <w:sz w:val="20"/>
          <w:szCs w:val="20"/>
        </w:rPr>
        <w:t xml:space="preserve"> America’s Demand: An Analysis of the Hidden Costs of Factory Farming and Alternate Methods of Food Production, </w:t>
      </w:r>
      <w:r w:rsidRPr="00D3067B">
        <w:rPr>
          <w:sz w:val="20"/>
          <w:szCs w:val="20"/>
        </w:rPr>
        <w:t xml:space="preserve">7 </w:t>
      </w:r>
      <w:r w:rsidRPr="00275C43">
        <w:rPr>
          <w:smallCaps/>
          <w:sz w:val="20"/>
          <w:szCs w:val="20"/>
        </w:rPr>
        <w:t xml:space="preserve">J. Animal &amp; </w:t>
      </w:r>
      <w:proofErr w:type="spellStart"/>
      <w:r w:rsidRPr="00275C43">
        <w:rPr>
          <w:smallCaps/>
          <w:sz w:val="20"/>
          <w:szCs w:val="20"/>
        </w:rPr>
        <w:t>Envtl</w:t>
      </w:r>
      <w:proofErr w:type="spellEnd"/>
      <w:r w:rsidRPr="00275C43">
        <w:rPr>
          <w:smallCaps/>
          <w:sz w:val="20"/>
          <w:szCs w:val="20"/>
        </w:rPr>
        <w:t>. L.</w:t>
      </w:r>
      <w:r w:rsidRPr="00D3067B">
        <w:rPr>
          <w:sz w:val="20"/>
          <w:szCs w:val="20"/>
        </w:rPr>
        <w:t xml:space="preserve"> 145</w:t>
      </w:r>
      <w:r>
        <w:rPr>
          <w:sz w:val="20"/>
          <w:szCs w:val="20"/>
        </w:rPr>
        <w:t>, 147</w:t>
      </w:r>
      <w:r w:rsidRPr="00D3067B">
        <w:rPr>
          <w:sz w:val="20"/>
          <w:szCs w:val="20"/>
        </w:rPr>
        <w:t xml:space="preserve"> </w:t>
      </w:r>
      <w:r>
        <w:rPr>
          <w:sz w:val="20"/>
          <w:szCs w:val="20"/>
        </w:rPr>
        <w:t>(</w:t>
      </w:r>
      <w:r w:rsidRPr="00D3067B">
        <w:rPr>
          <w:sz w:val="20"/>
          <w:szCs w:val="20"/>
        </w:rPr>
        <w:t>2015-2016</w:t>
      </w:r>
      <w:r>
        <w:rPr>
          <w:sz w:val="20"/>
          <w:szCs w:val="20"/>
        </w:rPr>
        <w:t xml:space="preserve">) (citing </w:t>
      </w:r>
      <w:r w:rsidRPr="00275C43">
        <w:rPr>
          <w:i/>
          <w:sz w:val="20"/>
          <w:szCs w:val="20"/>
        </w:rPr>
        <w:t>Farm Animals and the Law, Winning the Case Against Cruelty</w:t>
      </w:r>
      <w:r w:rsidRPr="00275C43">
        <w:rPr>
          <w:sz w:val="20"/>
          <w:szCs w:val="20"/>
        </w:rPr>
        <w:t xml:space="preserve">, </w:t>
      </w:r>
      <w:r w:rsidRPr="00275C43">
        <w:rPr>
          <w:smallCaps/>
          <w:sz w:val="20"/>
          <w:szCs w:val="20"/>
        </w:rPr>
        <w:t>Animal Legal Defense Fund</w:t>
      </w:r>
      <w:r>
        <w:rPr>
          <w:sz w:val="20"/>
          <w:szCs w:val="20"/>
        </w:rPr>
        <w:t xml:space="preserve"> </w:t>
      </w:r>
      <w:r w:rsidRPr="00275C43">
        <w:rPr>
          <w:sz w:val="20"/>
          <w:szCs w:val="20"/>
        </w:rPr>
        <w:t>http://aldf.org/resources/advocating-for-animals/farmed-animals-and-the-law/ (last visited Feb. 26, 2015)</w:t>
      </w:r>
      <w:r>
        <w:rPr>
          <w:sz w:val="20"/>
          <w:szCs w:val="20"/>
        </w:rPr>
        <w:t xml:space="preserve">; </w:t>
      </w:r>
      <w:r w:rsidRPr="00275C43">
        <w:rPr>
          <w:i/>
          <w:sz w:val="20"/>
          <w:szCs w:val="20"/>
        </w:rPr>
        <w:t>What Is a Factory Farm?</w:t>
      </w:r>
      <w:r w:rsidRPr="00275C43">
        <w:rPr>
          <w:sz w:val="20"/>
          <w:szCs w:val="20"/>
        </w:rPr>
        <w:t xml:space="preserve"> </w:t>
      </w:r>
      <w:r w:rsidRPr="00275C43">
        <w:rPr>
          <w:smallCaps/>
          <w:sz w:val="20"/>
          <w:szCs w:val="20"/>
        </w:rPr>
        <w:t>American Society for the Prevention of Cruelty to Animals</w:t>
      </w:r>
      <w:r w:rsidRPr="00275C43">
        <w:rPr>
          <w:sz w:val="20"/>
          <w:szCs w:val="20"/>
        </w:rPr>
        <w:t>,</w:t>
      </w:r>
      <w:r>
        <w:rPr>
          <w:sz w:val="20"/>
          <w:szCs w:val="20"/>
        </w:rPr>
        <w:t xml:space="preserve"> </w:t>
      </w:r>
      <w:r w:rsidRPr="00275C43">
        <w:rPr>
          <w:sz w:val="20"/>
          <w:szCs w:val="20"/>
        </w:rPr>
        <w:t>https://www.aspca.org/fight-cruelty/farm-animal-cruelty/</w:t>
      </w:r>
      <w:r>
        <w:rPr>
          <w:sz w:val="20"/>
          <w:szCs w:val="20"/>
        </w:rPr>
        <w:br/>
      </w:r>
      <w:r w:rsidRPr="00275C43">
        <w:rPr>
          <w:sz w:val="20"/>
          <w:szCs w:val="20"/>
        </w:rPr>
        <w:t>what-factory-farm (last visited Feb. 23, 2015)</w:t>
      </w:r>
      <w:r>
        <w:rPr>
          <w:sz w:val="20"/>
          <w:szCs w:val="20"/>
        </w:rPr>
        <w:t>).</w:t>
      </w:r>
    </w:p>
  </w:footnote>
  <w:footnote w:id="7">
    <w:p w14:paraId="133E4FFD" w14:textId="7A3D1E06" w:rsidR="0084636B" w:rsidRDefault="0084636B" w:rsidP="00D25FBF">
      <w:pPr>
        <w:pStyle w:val="NormalWeb"/>
        <w:spacing w:before="60" w:beforeAutospacing="0" w:after="0" w:afterAutospacing="0"/>
      </w:pPr>
      <w:r>
        <w:rPr>
          <w:rStyle w:val="FootnoteReference"/>
        </w:rPr>
        <w:footnoteRef/>
      </w:r>
      <w:r>
        <w:t xml:space="preserve"> </w:t>
      </w:r>
      <w:r>
        <w:rPr>
          <w:rFonts w:ascii="Times New Roman" w:hAnsi="Times New Roman"/>
          <w:i/>
        </w:rPr>
        <w:t>Id.</w:t>
      </w:r>
      <w:r>
        <w:rPr>
          <w:rFonts w:ascii="Times New Roman" w:hAnsi="Times New Roman"/>
          <w:sz w:val="24"/>
          <w:szCs w:val="24"/>
        </w:rPr>
        <w:t xml:space="preserve"> </w:t>
      </w:r>
    </w:p>
  </w:footnote>
  <w:footnote w:id="8">
    <w:p w14:paraId="1E480A77" w14:textId="5C201F12" w:rsidR="0084636B" w:rsidRPr="001C4CD0" w:rsidRDefault="0084636B" w:rsidP="005026F1">
      <w:pPr>
        <w:pStyle w:val="FootnoteText"/>
        <w:spacing w:before="60"/>
        <w:jc w:val="both"/>
        <w:rPr>
          <w:sz w:val="20"/>
          <w:szCs w:val="20"/>
        </w:rPr>
      </w:pPr>
      <w:r>
        <w:rPr>
          <w:rStyle w:val="FootnoteReference"/>
        </w:rPr>
        <w:footnoteRef/>
      </w:r>
      <w:r>
        <w:t xml:space="preserve"> </w:t>
      </w:r>
      <w:r w:rsidRPr="0034198F">
        <w:rPr>
          <w:smallCaps/>
          <w:sz w:val="20"/>
          <w:szCs w:val="20"/>
        </w:rPr>
        <w:t xml:space="preserve">David Robinson Simon, </w:t>
      </w:r>
      <w:proofErr w:type="spellStart"/>
      <w:r w:rsidRPr="0034198F">
        <w:rPr>
          <w:smallCaps/>
          <w:sz w:val="20"/>
          <w:szCs w:val="20"/>
        </w:rPr>
        <w:t>Meatonomics</w:t>
      </w:r>
      <w:proofErr w:type="spellEnd"/>
      <w:r w:rsidRPr="0034198F">
        <w:rPr>
          <w:smallCaps/>
          <w:sz w:val="20"/>
          <w:szCs w:val="20"/>
        </w:rPr>
        <w:t xml:space="preserve">: How the Rigged Economics of Meat and </w:t>
      </w:r>
      <w:r>
        <w:rPr>
          <w:smallCaps/>
          <w:sz w:val="20"/>
          <w:szCs w:val="20"/>
        </w:rPr>
        <w:t>Dairy Make You Consume Too Much</w:t>
      </w:r>
      <w:r w:rsidRPr="00C4477C">
        <w:rPr>
          <w:smallCaps/>
          <w:sz w:val="20"/>
          <w:szCs w:val="20"/>
        </w:rPr>
        <w:t>—</w:t>
      </w:r>
      <w:r w:rsidRPr="0034198F">
        <w:rPr>
          <w:smallCaps/>
          <w:sz w:val="20"/>
          <w:szCs w:val="20"/>
        </w:rPr>
        <w:t>and How to Eat Better, Live Longer, and Spend Smarter</w:t>
      </w:r>
      <w:r>
        <w:rPr>
          <w:smallCaps/>
          <w:sz w:val="20"/>
          <w:szCs w:val="20"/>
        </w:rPr>
        <w:t xml:space="preserve"> </w:t>
      </w:r>
      <w:r>
        <w:rPr>
          <w:sz w:val="20"/>
          <w:szCs w:val="20"/>
        </w:rPr>
        <w:t>xxii</w:t>
      </w:r>
      <w:r w:rsidRPr="0034198F">
        <w:rPr>
          <w:sz w:val="20"/>
          <w:szCs w:val="20"/>
        </w:rPr>
        <w:t xml:space="preserve"> (2013).</w:t>
      </w:r>
    </w:p>
  </w:footnote>
  <w:footnote w:id="9">
    <w:p w14:paraId="25BBC02E" w14:textId="40CFB1C0" w:rsidR="0084636B" w:rsidRDefault="0084636B" w:rsidP="00D25FBF">
      <w:pPr>
        <w:pStyle w:val="FootnoteText"/>
        <w:spacing w:before="60"/>
        <w:jc w:val="both"/>
      </w:pPr>
      <w:r>
        <w:rPr>
          <w:rStyle w:val="FootnoteReference"/>
        </w:rPr>
        <w:footnoteRef/>
      </w:r>
      <w:r>
        <w:t xml:space="preserve"> </w:t>
      </w:r>
      <w:r w:rsidRPr="00E60381">
        <w:rPr>
          <w:sz w:val="20"/>
        </w:rPr>
        <w:t>In 2014, Americans consumed 199 pounds per capita of cow, pig, and chicken flesh; the USDA projects that this number will rise to 214 pounds by 2026.</w:t>
      </w:r>
      <w:r w:rsidRPr="00E60381">
        <w:rPr>
          <w:smallCaps/>
          <w:sz w:val="16"/>
        </w:rPr>
        <w:t xml:space="preserve"> </w:t>
      </w:r>
      <w:r w:rsidRPr="00E60381">
        <w:rPr>
          <w:smallCaps/>
          <w:sz w:val="20"/>
        </w:rPr>
        <w:t>States Department of Agriculture, USDA Agricultural Projections to 2026</w:t>
      </w:r>
      <w:r>
        <w:rPr>
          <w:smallCaps/>
          <w:sz w:val="20"/>
        </w:rPr>
        <w:t xml:space="preserve"> 39</w:t>
      </w:r>
      <w:r w:rsidRPr="00E60381">
        <w:rPr>
          <w:sz w:val="20"/>
        </w:rPr>
        <w:t xml:space="preserve"> (2017), https://www.ers.usda.gov/webdocs/publications/oce20171/oce-2017-1.pdf</w:t>
      </w:r>
      <w:proofErr w:type="gramStart"/>
      <w:r w:rsidRPr="00E60381">
        <w:rPr>
          <w:sz w:val="20"/>
        </w:rPr>
        <w:t>?v</w:t>
      </w:r>
      <w:proofErr w:type="gramEnd"/>
      <w:r w:rsidRPr="00E60381">
        <w:rPr>
          <w:sz w:val="20"/>
        </w:rPr>
        <w:t>=42788.</w:t>
      </w:r>
    </w:p>
  </w:footnote>
  <w:footnote w:id="10">
    <w:p w14:paraId="198E66C2" w14:textId="71212273" w:rsidR="0084636B" w:rsidRPr="007938D7" w:rsidRDefault="0084636B" w:rsidP="00D25FBF">
      <w:pPr>
        <w:pStyle w:val="FootnoteText"/>
        <w:spacing w:before="60"/>
        <w:jc w:val="both"/>
        <w:rPr>
          <w:sz w:val="20"/>
          <w:szCs w:val="20"/>
        </w:rPr>
      </w:pPr>
      <w:r>
        <w:rPr>
          <w:rStyle w:val="FootnoteReference"/>
        </w:rPr>
        <w:footnoteRef/>
      </w:r>
      <w:r>
        <w:t xml:space="preserve"> </w:t>
      </w:r>
      <w:r>
        <w:rPr>
          <w:sz w:val="20"/>
          <w:szCs w:val="20"/>
        </w:rPr>
        <w:t xml:space="preserve">Simon, </w:t>
      </w:r>
      <w:r>
        <w:rPr>
          <w:i/>
          <w:sz w:val="20"/>
          <w:szCs w:val="20"/>
        </w:rPr>
        <w:t xml:space="preserve">supra </w:t>
      </w:r>
      <w:r>
        <w:rPr>
          <w:sz w:val="20"/>
          <w:szCs w:val="20"/>
        </w:rPr>
        <w:t>note 8, at xxii.</w:t>
      </w:r>
    </w:p>
  </w:footnote>
  <w:footnote w:id="11">
    <w:p w14:paraId="742FD652" w14:textId="4533302A" w:rsidR="0084636B" w:rsidRPr="008C5176" w:rsidRDefault="0084636B" w:rsidP="00D25FBF">
      <w:pPr>
        <w:pStyle w:val="FootnoteText"/>
        <w:spacing w:before="60"/>
        <w:jc w:val="both"/>
        <w:rPr>
          <w:b/>
          <w:bCs/>
          <w:i/>
          <w:sz w:val="20"/>
          <w:szCs w:val="20"/>
        </w:rPr>
      </w:pPr>
      <w:r>
        <w:rPr>
          <w:rStyle w:val="FootnoteReference"/>
        </w:rPr>
        <w:footnoteRef/>
      </w:r>
      <w:r>
        <w:t xml:space="preserve"> </w:t>
      </w:r>
      <w:r>
        <w:rPr>
          <w:sz w:val="20"/>
          <w:szCs w:val="20"/>
        </w:rPr>
        <w:t xml:space="preserve">The suffering of animals </w:t>
      </w:r>
      <w:proofErr w:type="gramStart"/>
      <w:r>
        <w:rPr>
          <w:sz w:val="20"/>
          <w:szCs w:val="20"/>
        </w:rPr>
        <w:t>who</w:t>
      </w:r>
      <w:proofErr w:type="gramEnd"/>
      <w:r>
        <w:rPr>
          <w:sz w:val="20"/>
          <w:szCs w:val="20"/>
        </w:rPr>
        <w:t xml:space="preserve"> are exploited and tortured by the billions in CAFOs is not the primary focus of this project, but it is impossible to proceed without acknowledging this reality. Female breeding pigs, for example, spend most of their lives in gestation crates barely larger than their bodies. </w:t>
      </w:r>
      <w:r w:rsidRPr="005634FD">
        <w:rPr>
          <w:i/>
          <w:sz w:val="20"/>
          <w:szCs w:val="20"/>
        </w:rPr>
        <w:t>Farm Animal Welfare: A Closer Look At Animals on Factory Farms</w:t>
      </w:r>
      <w:r>
        <w:rPr>
          <w:sz w:val="20"/>
          <w:szCs w:val="20"/>
        </w:rPr>
        <w:t xml:space="preserve">, </w:t>
      </w:r>
      <w:r>
        <w:rPr>
          <w:smallCaps/>
          <w:sz w:val="20"/>
          <w:szCs w:val="20"/>
        </w:rPr>
        <w:t>American Society for the Prevention of Cruelty to Animals</w:t>
      </w:r>
      <w:r>
        <w:rPr>
          <w:sz w:val="20"/>
          <w:szCs w:val="20"/>
        </w:rPr>
        <w:t xml:space="preserve">, </w:t>
      </w:r>
      <w:r w:rsidRPr="005634FD">
        <w:rPr>
          <w:sz w:val="20"/>
          <w:szCs w:val="20"/>
        </w:rPr>
        <w:t>http://www.aspca.org/animal-cruelty/farm-animal-welfare/animals-factory-farms</w:t>
      </w:r>
      <w:r>
        <w:rPr>
          <w:sz w:val="20"/>
          <w:szCs w:val="20"/>
        </w:rPr>
        <w:t xml:space="preserve"> (last visited Mar. 24, 2017). Pigs in such crates are unable even to turn around. </w:t>
      </w:r>
      <w:r>
        <w:rPr>
          <w:i/>
          <w:sz w:val="20"/>
          <w:szCs w:val="20"/>
        </w:rPr>
        <w:t xml:space="preserve">Id. </w:t>
      </w:r>
      <w:r>
        <w:rPr>
          <w:sz w:val="20"/>
          <w:szCs w:val="20"/>
        </w:rPr>
        <w:t xml:space="preserve">Their piglets are taken from them at two to three weeks of age and confined to enormous (but overcrowded) sheds with no access to fresh air, sunlight, earth, or even windows. </w:t>
      </w:r>
      <w:r>
        <w:rPr>
          <w:i/>
          <w:sz w:val="20"/>
          <w:szCs w:val="20"/>
        </w:rPr>
        <w:t xml:space="preserve">Id. </w:t>
      </w:r>
      <w:r>
        <w:rPr>
          <w:sz w:val="20"/>
          <w:szCs w:val="20"/>
        </w:rPr>
        <w:t xml:space="preserve">After several years of constant pregnancy and birth, the female pigs are slaughtered. </w:t>
      </w:r>
      <w:r>
        <w:rPr>
          <w:i/>
          <w:sz w:val="20"/>
          <w:szCs w:val="20"/>
        </w:rPr>
        <w:t xml:space="preserve">Id. </w:t>
      </w:r>
      <w:r>
        <w:rPr>
          <w:sz w:val="20"/>
          <w:szCs w:val="20"/>
        </w:rPr>
        <w:t xml:space="preserve">The pigs go on to endure unimaginable horrors at slaughterhouses. The Editorial Board, </w:t>
      </w:r>
      <w:r>
        <w:rPr>
          <w:i/>
          <w:sz w:val="20"/>
          <w:szCs w:val="20"/>
        </w:rPr>
        <w:t>No More E</w:t>
      </w:r>
      <w:r w:rsidRPr="008C5176">
        <w:rPr>
          <w:bCs/>
          <w:i/>
          <w:sz w:val="20"/>
          <w:szCs w:val="20"/>
        </w:rPr>
        <w:t>xposés</w:t>
      </w:r>
      <w:r>
        <w:rPr>
          <w:i/>
          <w:sz w:val="20"/>
          <w:szCs w:val="20"/>
        </w:rPr>
        <w:t xml:space="preserve"> in North </w:t>
      </w:r>
      <w:r w:rsidRPr="008C5176">
        <w:rPr>
          <w:i/>
          <w:sz w:val="20"/>
          <w:szCs w:val="20"/>
        </w:rPr>
        <w:t>Carolina</w:t>
      </w:r>
      <w:r>
        <w:rPr>
          <w:sz w:val="20"/>
          <w:szCs w:val="20"/>
        </w:rPr>
        <w:t xml:space="preserve">, </w:t>
      </w:r>
      <w:r w:rsidRPr="008C5176">
        <w:rPr>
          <w:smallCaps/>
          <w:sz w:val="20"/>
          <w:szCs w:val="20"/>
        </w:rPr>
        <w:t>N.Y. Times</w:t>
      </w:r>
      <w:r>
        <w:rPr>
          <w:sz w:val="20"/>
          <w:szCs w:val="20"/>
        </w:rPr>
        <w:t xml:space="preserve">, Feb. 1, 2016, </w:t>
      </w:r>
      <w:r w:rsidRPr="008C5176">
        <w:rPr>
          <w:sz w:val="20"/>
          <w:szCs w:val="20"/>
        </w:rPr>
        <w:t>https://www.nytimes.com/2016/02/01/opinion/no-more-exposes-in-north-carolina.html</w:t>
      </w:r>
      <w:r>
        <w:rPr>
          <w:sz w:val="20"/>
          <w:szCs w:val="20"/>
        </w:rPr>
        <w:t xml:space="preserve"> (pigs stabbed, beaten with sledgehammers, and boiled alive). </w:t>
      </w:r>
    </w:p>
  </w:footnote>
  <w:footnote w:id="12">
    <w:p w14:paraId="63B0816A" w14:textId="0526E20C" w:rsidR="0084636B" w:rsidRDefault="0084636B" w:rsidP="00D25FBF">
      <w:pPr>
        <w:pStyle w:val="FootnoteText"/>
        <w:spacing w:before="60"/>
        <w:jc w:val="both"/>
      </w:pPr>
      <w:r>
        <w:rPr>
          <w:rStyle w:val="FootnoteReference"/>
        </w:rPr>
        <w:footnoteRef/>
      </w:r>
      <w:r>
        <w:t xml:space="preserve"> </w:t>
      </w:r>
      <w:r>
        <w:rPr>
          <w:sz w:val="20"/>
          <w:szCs w:val="20"/>
        </w:rPr>
        <w:t xml:space="preserve">Simon, </w:t>
      </w:r>
      <w:r>
        <w:rPr>
          <w:i/>
          <w:sz w:val="20"/>
          <w:szCs w:val="20"/>
        </w:rPr>
        <w:t xml:space="preserve">supra </w:t>
      </w:r>
      <w:r>
        <w:rPr>
          <w:sz w:val="20"/>
          <w:szCs w:val="20"/>
        </w:rPr>
        <w:t>note 8, at xxi (“[</w:t>
      </w:r>
      <w:proofErr w:type="gramStart"/>
      <w:r>
        <w:rPr>
          <w:sz w:val="20"/>
          <w:szCs w:val="20"/>
        </w:rPr>
        <w:t>M]</w:t>
      </w:r>
      <w:proofErr w:type="spellStart"/>
      <w:r>
        <w:rPr>
          <w:sz w:val="20"/>
          <w:szCs w:val="20"/>
        </w:rPr>
        <w:t>om</w:t>
      </w:r>
      <w:proofErr w:type="spellEnd"/>
      <w:proofErr w:type="gramEnd"/>
      <w:r>
        <w:rPr>
          <w:sz w:val="20"/>
          <w:szCs w:val="20"/>
        </w:rPr>
        <w:t>-and-pop farms are mostly gone</w:t>
      </w:r>
      <w:r w:rsidRPr="00C4477C">
        <w:rPr>
          <w:sz w:val="20"/>
          <w:szCs w:val="20"/>
        </w:rPr>
        <w:t>—</w:t>
      </w:r>
      <w:r>
        <w:rPr>
          <w:sz w:val="20"/>
          <w:szCs w:val="20"/>
        </w:rPr>
        <w:t xml:space="preserve">either acquired by large corporate operations or plowed under for new housing subdivisions. For instance, between 1954 and 2007, even as demand for dairy increased by 40 percent, the number of US dairy farms plummeted from 2.9 million to 65,000.”). In North Carolina, “corporate-run hog facilities have forced many independent hog farms out of business.” </w:t>
      </w:r>
      <w:r>
        <w:rPr>
          <w:sz w:val="20"/>
        </w:rPr>
        <w:t xml:space="preserve">Aaron M. </w:t>
      </w:r>
      <w:proofErr w:type="spellStart"/>
      <w:r>
        <w:rPr>
          <w:sz w:val="20"/>
        </w:rPr>
        <w:t>McKown</w:t>
      </w:r>
      <w:proofErr w:type="spellEnd"/>
      <w:r>
        <w:rPr>
          <w:sz w:val="20"/>
        </w:rPr>
        <w:t xml:space="preserve">, </w:t>
      </w:r>
      <w:r>
        <w:rPr>
          <w:i/>
          <w:sz w:val="20"/>
        </w:rPr>
        <w:t xml:space="preserve">Hog Farms and Nuisance Law in </w:t>
      </w:r>
      <w:r>
        <w:rPr>
          <w:sz w:val="20"/>
        </w:rPr>
        <w:t>Parker v. Barefoot</w:t>
      </w:r>
      <w:r>
        <w:rPr>
          <w:i/>
          <w:sz w:val="20"/>
        </w:rPr>
        <w:t>: Has North Carolina Become a Hog Heaven and Waste Lagoon</w:t>
      </w:r>
      <w:proofErr w:type="gramStart"/>
      <w:r>
        <w:rPr>
          <w:i/>
          <w:sz w:val="20"/>
        </w:rPr>
        <w:t>?</w:t>
      </w:r>
      <w:r>
        <w:rPr>
          <w:sz w:val="20"/>
        </w:rPr>
        <w:t>,</w:t>
      </w:r>
      <w:proofErr w:type="gramEnd"/>
      <w:r>
        <w:rPr>
          <w:sz w:val="20"/>
        </w:rPr>
        <w:t xml:space="preserve"> </w:t>
      </w:r>
      <w:r w:rsidRPr="00FB44B3">
        <w:rPr>
          <w:smallCaps/>
          <w:sz w:val="20"/>
          <w:szCs w:val="20"/>
        </w:rPr>
        <w:t>77 N.C. L. Rev.</w:t>
      </w:r>
      <w:r w:rsidRPr="00FB44B3">
        <w:rPr>
          <w:sz w:val="20"/>
        </w:rPr>
        <w:t xml:space="preserve"> 2355</w:t>
      </w:r>
      <w:r>
        <w:rPr>
          <w:sz w:val="20"/>
        </w:rPr>
        <w:t>, 2355 n.3 (1999).</w:t>
      </w:r>
    </w:p>
  </w:footnote>
  <w:footnote w:id="13">
    <w:p w14:paraId="2EBED765" w14:textId="41BA26F2" w:rsidR="0084636B" w:rsidRPr="005C2B2D" w:rsidRDefault="0084636B" w:rsidP="00F72FAA">
      <w:pPr>
        <w:pStyle w:val="FootnoteText"/>
        <w:spacing w:before="60"/>
        <w:jc w:val="both"/>
        <w:rPr>
          <w:sz w:val="20"/>
          <w:szCs w:val="20"/>
        </w:rPr>
      </w:pPr>
      <w:r>
        <w:rPr>
          <w:rStyle w:val="FootnoteReference"/>
        </w:rPr>
        <w:footnoteRef/>
      </w:r>
      <w:r>
        <w:t xml:space="preserve"> </w:t>
      </w:r>
      <w:r>
        <w:rPr>
          <w:sz w:val="20"/>
          <w:szCs w:val="20"/>
        </w:rPr>
        <w:t xml:space="preserve">CAFO workers are subjected to many health and safety hazards, including exposure to inhalable particulate matter (PM) and harmful gases such as ammonia and hydrogen sulfide. </w:t>
      </w:r>
      <w:r>
        <w:rPr>
          <w:i/>
          <w:sz w:val="20"/>
          <w:szCs w:val="20"/>
        </w:rPr>
        <w:t>Factory Farm Workers</w:t>
      </w:r>
      <w:r>
        <w:rPr>
          <w:sz w:val="20"/>
          <w:szCs w:val="20"/>
        </w:rPr>
        <w:t xml:space="preserve">, </w:t>
      </w:r>
      <w:r w:rsidRPr="00671C38">
        <w:rPr>
          <w:smallCaps/>
          <w:sz w:val="20"/>
          <w:szCs w:val="20"/>
        </w:rPr>
        <w:t>Food Empowerment Project</w:t>
      </w:r>
      <w:r>
        <w:rPr>
          <w:sz w:val="20"/>
          <w:szCs w:val="20"/>
        </w:rPr>
        <w:t xml:space="preserve">, </w:t>
      </w:r>
      <w:r w:rsidRPr="00563623">
        <w:rPr>
          <w:sz w:val="20"/>
          <w:szCs w:val="20"/>
        </w:rPr>
        <w:t>http://www.foodispower.org/factory-farm-workers/</w:t>
      </w:r>
      <w:r>
        <w:rPr>
          <w:sz w:val="20"/>
          <w:szCs w:val="20"/>
        </w:rPr>
        <w:t xml:space="preserve"> (last visited Mar. 24, 2017). The workers are also prone to repetitive stress injuries. </w:t>
      </w:r>
      <w:r>
        <w:rPr>
          <w:i/>
          <w:sz w:val="20"/>
          <w:szCs w:val="20"/>
        </w:rPr>
        <w:t xml:space="preserve">Id. </w:t>
      </w:r>
      <w:r>
        <w:rPr>
          <w:sz w:val="20"/>
          <w:szCs w:val="20"/>
        </w:rPr>
        <w:t xml:space="preserve">“The resulting health effects are well documented and include chronic aches and pains, respiratory disorders, cardiovascular complications and premature death.” </w:t>
      </w:r>
      <w:r>
        <w:rPr>
          <w:i/>
          <w:sz w:val="20"/>
          <w:szCs w:val="20"/>
        </w:rPr>
        <w:t xml:space="preserve">Id. </w:t>
      </w:r>
      <w:r>
        <w:rPr>
          <w:sz w:val="20"/>
          <w:szCs w:val="20"/>
        </w:rPr>
        <w:t xml:space="preserve">Many workers are undocumented individuals, who CAFO owners seek out “because they are less likely to complain about low wages and hazardous working conditions.” </w:t>
      </w:r>
      <w:r>
        <w:rPr>
          <w:i/>
          <w:sz w:val="20"/>
          <w:szCs w:val="20"/>
        </w:rPr>
        <w:t>Id.</w:t>
      </w:r>
      <w:proofErr w:type="gramStart"/>
      <w:r>
        <w:rPr>
          <w:sz w:val="20"/>
          <w:szCs w:val="20"/>
        </w:rPr>
        <w:t>;</w:t>
      </w:r>
      <w:proofErr w:type="gramEnd"/>
      <w:r>
        <w:rPr>
          <w:sz w:val="20"/>
          <w:szCs w:val="20"/>
        </w:rPr>
        <w:t xml:space="preserve"> </w:t>
      </w:r>
      <w:r>
        <w:rPr>
          <w:i/>
          <w:sz w:val="20"/>
          <w:szCs w:val="20"/>
        </w:rPr>
        <w:t>see also</w:t>
      </w:r>
      <w:r>
        <w:rPr>
          <w:sz w:val="20"/>
          <w:szCs w:val="20"/>
        </w:rPr>
        <w:t xml:space="preserve"> </w:t>
      </w:r>
      <w:r w:rsidRPr="005C2B2D">
        <w:rPr>
          <w:smallCaps/>
          <w:sz w:val="20"/>
          <w:szCs w:val="20"/>
        </w:rPr>
        <w:t>Human Rights Watch</w:t>
      </w:r>
      <w:r>
        <w:rPr>
          <w:smallCaps/>
          <w:sz w:val="20"/>
          <w:szCs w:val="20"/>
        </w:rPr>
        <w:t xml:space="preserve">, </w:t>
      </w:r>
      <w:r w:rsidRPr="005C2B2D">
        <w:rPr>
          <w:smallCaps/>
          <w:sz w:val="20"/>
          <w:szCs w:val="20"/>
        </w:rPr>
        <w:t>Blood, Sweat, and Fear: Workers’ Rights in U.S. Meat and Poultry Plants</w:t>
      </w:r>
      <w:r>
        <w:rPr>
          <w:smallCaps/>
          <w:sz w:val="20"/>
          <w:szCs w:val="20"/>
        </w:rPr>
        <w:t xml:space="preserve"> </w:t>
      </w:r>
      <w:r w:rsidRPr="005C2B2D">
        <w:rPr>
          <w:sz w:val="20"/>
          <w:szCs w:val="20"/>
        </w:rPr>
        <w:t>(Jan. 24, 2005), https://www.hrw.org/report/2005/01/24/blood-sweat-and-fear/workers-rights-us-meat-and-poultry-plants</w:t>
      </w:r>
      <w:r>
        <w:rPr>
          <w:sz w:val="20"/>
          <w:szCs w:val="20"/>
        </w:rPr>
        <w:t xml:space="preserve"> (discussing dire conditions of slaughterhouse work).</w:t>
      </w:r>
    </w:p>
  </w:footnote>
  <w:footnote w:id="14">
    <w:p w14:paraId="320DFB99" w14:textId="6802998B" w:rsidR="0084636B" w:rsidRPr="006F54D1" w:rsidRDefault="0084636B" w:rsidP="00A7291D">
      <w:pPr>
        <w:pStyle w:val="FootnoteText"/>
        <w:spacing w:before="60"/>
        <w:jc w:val="both"/>
        <w:rPr>
          <w:i/>
          <w:sz w:val="20"/>
        </w:rPr>
      </w:pPr>
      <w:r>
        <w:rPr>
          <w:rStyle w:val="FootnoteReference"/>
        </w:rPr>
        <w:footnoteRef/>
      </w:r>
      <w:r>
        <w:t xml:space="preserve"> </w:t>
      </w:r>
      <w:proofErr w:type="spellStart"/>
      <w:r w:rsidRPr="00F72FAA">
        <w:rPr>
          <w:sz w:val="20"/>
        </w:rPr>
        <w:t>Wendee</w:t>
      </w:r>
      <w:proofErr w:type="spellEnd"/>
      <w:r w:rsidRPr="00F72FAA">
        <w:rPr>
          <w:sz w:val="20"/>
        </w:rPr>
        <w:t xml:space="preserve"> Nicole, </w:t>
      </w:r>
      <w:r w:rsidRPr="00F72FAA">
        <w:rPr>
          <w:i/>
          <w:iCs/>
          <w:sz w:val="20"/>
        </w:rPr>
        <w:t>CAFOs and Environmental Justice: The Case of North Carolina</w:t>
      </w:r>
      <w:r w:rsidRPr="00F72FAA">
        <w:rPr>
          <w:sz w:val="20"/>
        </w:rPr>
        <w:t xml:space="preserve">, </w:t>
      </w:r>
      <w:r>
        <w:rPr>
          <w:sz w:val="20"/>
        </w:rPr>
        <w:t xml:space="preserve">121 </w:t>
      </w:r>
      <w:proofErr w:type="spellStart"/>
      <w:r w:rsidRPr="00F35084">
        <w:rPr>
          <w:smallCaps/>
          <w:sz w:val="20"/>
          <w:szCs w:val="20"/>
        </w:rPr>
        <w:t>Envtl</w:t>
      </w:r>
      <w:proofErr w:type="spellEnd"/>
      <w:r w:rsidRPr="00F35084">
        <w:rPr>
          <w:smallCaps/>
          <w:sz w:val="20"/>
          <w:szCs w:val="20"/>
        </w:rPr>
        <w:t xml:space="preserve">. Health </w:t>
      </w:r>
      <w:proofErr w:type="spellStart"/>
      <w:r w:rsidRPr="00F35084">
        <w:rPr>
          <w:smallCaps/>
          <w:sz w:val="20"/>
          <w:szCs w:val="20"/>
        </w:rPr>
        <w:t>Persp</w:t>
      </w:r>
      <w:proofErr w:type="spellEnd"/>
      <w:r w:rsidRPr="00F35084">
        <w:rPr>
          <w:smallCaps/>
          <w:sz w:val="20"/>
          <w:szCs w:val="20"/>
        </w:rPr>
        <w:t>.</w:t>
      </w:r>
      <w:r w:rsidRPr="00F72FAA">
        <w:rPr>
          <w:sz w:val="20"/>
        </w:rPr>
        <w:t xml:space="preserve"> </w:t>
      </w:r>
      <w:r>
        <w:rPr>
          <w:sz w:val="20"/>
        </w:rPr>
        <w:t xml:space="preserve">A182, A183 </w:t>
      </w:r>
      <w:r w:rsidRPr="00F72FAA">
        <w:rPr>
          <w:sz w:val="20"/>
        </w:rPr>
        <w:t xml:space="preserve">(Jun. 1, 2013), </w:t>
      </w:r>
      <w:r w:rsidRPr="009B0242">
        <w:rPr>
          <w:sz w:val="20"/>
        </w:rPr>
        <w:t>https://ehp.niehs.nih.gov/121-a182/</w:t>
      </w:r>
      <w:r>
        <w:rPr>
          <w:sz w:val="20"/>
        </w:rPr>
        <w:t xml:space="preserve"> (citing </w:t>
      </w:r>
      <w:r w:rsidRPr="009B0242">
        <w:rPr>
          <w:i/>
          <w:sz w:val="20"/>
        </w:rPr>
        <w:t>Focus on Black Belt Counties: Life C</w:t>
      </w:r>
      <w:r>
        <w:rPr>
          <w:i/>
          <w:sz w:val="20"/>
        </w:rPr>
        <w:t xml:space="preserve">onditions and Opportunities, </w:t>
      </w:r>
      <w:r w:rsidRPr="007274FB">
        <w:rPr>
          <w:smallCaps/>
          <w:sz w:val="20"/>
          <w:szCs w:val="20"/>
        </w:rPr>
        <w:t>Proceedings of a Preconference of the Professional Agricultural Workers Conference</w:t>
      </w:r>
      <w:r>
        <w:rPr>
          <w:smallCaps/>
          <w:sz w:val="20"/>
          <w:szCs w:val="20"/>
        </w:rPr>
        <w:t xml:space="preserve"> (</w:t>
      </w:r>
      <w:proofErr w:type="spellStart"/>
      <w:r>
        <w:rPr>
          <w:sz w:val="20"/>
        </w:rPr>
        <w:t>Ntam</w:t>
      </w:r>
      <w:proofErr w:type="spellEnd"/>
      <w:r>
        <w:rPr>
          <w:sz w:val="20"/>
        </w:rPr>
        <w:t xml:space="preserve"> </w:t>
      </w:r>
      <w:proofErr w:type="spellStart"/>
      <w:r>
        <w:rPr>
          <w:sz w:val="20"/>
        </w:rPr>
        <w:t>Baharanyi</w:t>
      </w:r>
      <w:proofErr w:type="spellEnd"/>
      <w:r>
        <w:rPr>
          <w:sz w:val="20"/>
        </w:rPr>
        <w:t xml:space="preserve"> et al, eds</w:t>
      </w:r>
      <w:proofErr w:type="gramStart"/>
      <w:r>
        <w:rPr>
          <w:sz w:val="20"/>
        </w:rPr>
        <w:t>.,</w:t>
      </w:r>
      <w:proofErr w:type="gramEnd"/>
      <w:r>
        <w:rPr>
          <w:sz w:val="20"/>
        </w:rPr>
        <w:t xml:space="preserve"> Tuskegee University and the Southern Rural Development Center, 1993)</w:t>
      </w:r>
      <w:r>
        <w:rPr>
          <w:smallCaps/>
          <w:sz w:val="20"/>
          <w:szCs w:val="20"/>
        </w:rPr>
        <w:t xml:space="preserve"> </w:t>
      </w:r>
      <w:r w:rsidRPr="003822A5">
        <w:rPr>
          <w:sz w:val="20"/>
        </w:rPr>
        <w:t>http://goo.gl/4iCrN</w:t>
      </w:r>
      <w:r>
        <w:rPr>
          <w:sz w:val="20"/>
        </w:rPr>
        <w:t xml:space="preserve">; Dale W. Wimberley, </w:t>
      </w:r>
      <w:r w:rsidRPr="003822A5">
        <w:rPr>
          <w:i/>
          <w:sz w:val="20"/>
        </w:rPr>
        <w:t>Quality of Life Trends In the Southern Black Belt, 1980–2005: A Research Note</w:t>
      </w:r>
      <w:r>
        <w:rPr>
          <w:sz w:val="20"/>
        </w:rPr>
        <w:t>,</w:t>
      </w:r>
      <w:r w:rsidRPr="009B0242">
        <w:rPr>
          <w:sz w:val="20"/>
        </w:rPr>
        <w:t xml:space="preserve"> </w:t>
      </w:r>
      <w:r w:rsidRPr="003A2483">
        <w:rPr>
          <w:smallCaps/>
          <w:sz w:val="20"/>
          <w:szCs w:val="20"/>
        </w:rPr>
        <w:t>25 J. Rural Soc. Sci. 103</w:t>
      </w:r>
      <w:r>
        <w:rPr>
          <w:sz w:val="20"/>
        </w:rPr>
        <w:t xml:space="preserve"> (2010). Booker T. Washington described the Black Belt</w:t>
      </w:r>
      <w:r w:rsidRPr="006F54D1">
        <w:rPr>
          <w:sz w:val="20"/>
        </w:rPr>
        <w:t>: “</w:t>
      </w:r>
      <w:r w:rsidRPr="006F54D1">
        <w:rPr>
          <w:iCs/>
          <w:sz w:val="20"/>
        </w:rPr>
        <w:t>So far as I can learn, the term was first used to designate a part of the country which was distinguished by the color of the soil. The part of the country possessing this thick, dark, and naturally rich soil was, of course, the part of the South where the slaves were most profitable, and consequently they were taken there in the largest numbers. Later, and especially since the war, the term seems to be used wholly in a political sense — that is, to designate the counties where the black people outnumber the white</w:t>
      </w:r>
      <w:r w:rsidRPr="006F54D1">
        <w:rPr>
          <w:sz w:val="20"/>
        </w:rPr>
        <w:t>.”</w:t>
      </w:r>
      <w:r>
        <w:rPr>
          <w:sz w:val="20"/>
        </w:rPr>
        <w:t xml:space="preserve"> </w:t>
      </w:r>
      <w:r w:rsidRPr="006F54D1">
        <w:rPr>
          <w:smallCaps/>
          <w:sz w:val="20"/>
          <w:szCs w:val="20"/>
        </w:rPr>
        <w:t>Booker T. Washington, Up From Slavery</w:t>
      </w:r>
      <w:r>
        <w:rPr>
          <w:smallCaps/>
          <w:sz w:val="20"/>
          <w:szCs w:val="20"/>
        </w:rPr>
        <w:t>: An Autobiography</w:t>
      </w:r>
      <w:r>
        <w:rPr>
          <w:sz w:val="20"/>
        </w:rPr>
        <w:t xml:space="preserve"> 108 (1901).</w:t>
      </w:r>
    </w:p>
  </w:footnote>
  <w:footnote w:id="15">
    <w:p w14:paraId="1CD63C48" w14:textId="104C1DD1" w:rsidR="0084636B" w:rsidRPr="00281A5B" w:rsidRDefault="0084636B" w:rsidP="00A7291D">
      <w:pPr>
        <w:pStyle w:val="FootnoteText"/>
        <w:spacing w:before="60"/>
        <w:jc w:val="both"/>
        <w:rPr>
          <w:sz w:val="20"/>
          <w:szCs w:val="20"/>
        </w:rPr>
      </w:pPr>
      <w:r>
        <w:rPr>
          <w:rStyle w:val="FootnoteReference"/>
        </w:rPr>
        <w:footnoteRef/>
      </w:r>
      <w:r>
        <w:t xml:space="preserve"> </w:t>
      </w:r>
      <w:r w:rsidRPr="00281A5B">
        <w:rPr>
          <w:sz w:val="20"/>
          <w:szCs w:val="20"/>
        </w:rPr>
        <w:t xml:space="preserve">Libby V. Morris et al, </w:t>
      </w:r>
      <w:r>
        <w:rPr>
          <w:i/>
          <w:sz w:val="20"/>
          <w:szCs w:val="20"/>
        </w:rPr>
        <w:t>Current Conditions and Trends In the Southern Black Belt</w:t>
      </w:r>
      <w:r>
        <w:rPr>
          <w:sz w:val="20"/>
          <w:szCs w:val="20"/>
        </w:rPr>
        <w:t xml:space="preserve">, </w:t>
      </w:r>
      <w:r>
        <w:rPr>
          <w:i/>
          <w:sz w:val="20"/>
          <w:szCs w:val="20"/>
        </w:rPr>
        <w:t xml:space="preserve">in </w:t>
      </w:r>
      <w:r w:rsidRPr="009B0242">
        <w:rPr>
          <w:i/>
          <w:sz w:val="20"/>
        </w:rPr>
        <w:t>Focus on Black Belt Counties: Life C</w:t>
      </w:r>
      <w:r>
        <w:rPr>
          <w:i/>
          <w:sz w:val="20"/>
        </w:rPr>
        <w:t xml:space="preserve">onditions and Opportunities, in </w:t>
      </w:r>
      <w:r w:rsidRPr="007274FB">
        <w:rPr>
          <w:smallCaps/>
          <w:sz w:val="20"/>
          <w:szCs w:val="20"/>
        </w:rPr>
        <w:t>Proceedings of a Preconference of the Professional Agricultural Workers Conference</w:t>
      </w:r>
      <w:r>
        <w:rPr>
          <w:smallCaps/>
          <w:sz w:val="20"/>
          <w:szCs w:val="20"/>
        </w:rPr>
        <w:t xml:space="preserve"> (</w:t>
      </w:r>
      <w:proofErr w:type="spellStart"/>
      <w:r>
        <w:rPr>
          <w:sz w:val="20"/>
        </w:rPr>
        <w:t>Ntam</w:t>
      </w:r>
      <w:proofErr w:type="spellEnd"/>
      <w:r>
        <w:rPr>
          <w:sz w:val="20"/>
        </w:rPr>
        <w:t xml:space="preserve"> </w:t>
      </w:r>
      <w:proofErr w:type="spellStart"/>
      <w:r>
        <w:rPr>
          <w:sz w:val="20"/>
        </w:rPr>
        <w:t>Baharanyi</w:t>
      </w:r>
      <w:proofErr w:type="spellEnd"/>
      <w:r>
        <w:rPr>
          <w:sz w:val="20"/>
        </w:rPr>
        <w:t xml:space="preserve"> et al, eds</w:t>
      </w:r>
      <w:proofErr w:type="gramStart"/>
      <w:r>
        <w:rPr>
          <w:sz w:val="20"/>
        </w:rPr>
        <w:t>.,</w:t>
      </w:r>
      <w:proofErr w:type="gramEnd"/>
      <w:r>
        <w:rPr>
          <w:sz w:val="20"/>
        </w:rPr>
        <w:t xml:space="preserve"> Tuskegee University and the Southern Rural Development Center, 1993)</w:t>
      </w:r>
      <w:r>
        <w:rPr>
          <w:smallCaps/>
          <w:sz w:val="20"/>
          <w:szCs w:val="20"/>
        </w:rPr>
        <w:t xml:space="preserve"> </w:t>
      </w:r>
      <w:r w:rsidRPr="003822A5">
        <w:rPr>
          <w:sz w:val="20"/>
        </w:rPr>
        <w:t>http://goo.gl/4iCrN</w:t>
      </w:r>
      <w:r>
        <w:rPr>
          <w:sz w:val="20"/>
        </w:rPr>
        <w:t>.</w:t>
      </w:r>
    </w:p>
  </w:footnote>
  <w:footnote w:id="16">
    <w:p w14:paraId="1BEB702B" w14:textId="3E6355CC" w:rsidR="0084636B" w:rsidRPr="002F7AA0" w:rsidRDefault="0084636B" w:rsidP="00A7291D">
      <w:pPr>
        <w:pStyle w:val="FootnoteText"/>
        <w:spacing w:before="60"/>
        <w:jc w:val="both"/>
        <w:rPr>
          <w:sz w:val="20"/>
        </w:rPr>
      </w:pPr>
      <w:r>
        <w:rPr>
          <w:rStyle w:val="FootnoteReference"/>
        </w:rPr>
        <w:footnoteRef/>
      </w:r>
      <w:r>
        <w:t xml:space="preserve"> </w:t>
      </w:r>
      <w:r>
        <w:rPr>
          <w:sz w:val="20"/>
        </w:rPr>
        <w:t xml:space="preserve">Nicole, </w:t>
      </w:r>
      <w:r>
        <w:rPr>
          <w:i/>
          <w:sz w:val="20"/>
        </w:rPr>
        <w:t xml:space="preserve">supra </w:t>
      </w:r>
      <w:r>
        <w:rPr>
          <w:sz w:val="20"/>
        </w:rPr>
        <w:t>note 14, at A183.</w:t>
      </w:r>
    </w:p>
  </w:footnote>
  <w:footnote w:id="17">
    <w:p w14:paraId="29E96BDF" w14:textId="7D0D8F05" w:rsidR="0084636B" w:rsidRPr="00E94791" w:rsidRDefault="0084636B" w:rsidP="00A7291D">
      <w:pPr>
        <w:pStyle w:val="FootnoteText"/>
        <w:spacing w:before="60"/>
        <w:jc w:val="both"/>
      </w:pPr>
      <w:r>
        <w:rPr>
          <w:rStyle w:val="FootnoteReference"/>
        </w:rPr>
        <w:footnoteRef/>
      </w:r>
      <w:r>
        <w:t xml:space="preserve"> </w:t>
      </w:r>
      <w:proofErr w:type="spellStart"/>
      <w:r w:rsidRPr="00C553AE">
        <w:rPr>
          <w:sz w:val="20"/>
          <w:szCs w:val="20"/>
        </w:rPr>
        <w:t>Ejigou</w:t>
      </w:r>
      <w:proofErr w:type="spellEnd"/>
      <w:r w:rsidRPr="00C553AE">
        <w:rPr>
          <w:sz w:val="20"/>
          <w:szCs w:val="20"/>
        </w:rPr>
        <w:t xml:space="preserve"> </w:t>
      </w:r>
      <w:proofErr w:type="spellStart"/>
      <w:r w:rsidRPr="00C553AE">
        <w:rPr>
          <w:sz w:val="20"/>
          <w:szCs w:val="20"/>
        </w:rPr>
        <w:t>Demissie</w:t>
      </w:r>
      <w:proofErr w:type="spellEnd"/>
      <w:r w:rsidRPr="00C553AE">
        <w:rPr>
          <w:sz w:val="20"/>
          <w:szCs w:val="20"/>
        </w:rPr>
        <w:t xml:space="preserve">, </w:t>
      </w:r>
      <w:r w:rsidRPr="00C553AE">
        <w:rPr>
          <w:i/>
          <w:sz w:val="20"/>
          <w:szCs w:val="20"/>
        </w:rPr>
        <w:t>Past-Present Conditions and Future Issues In the Black Belt of the South</w:t>
      </w:r>
      <w:r w:rsidRPr="00C553AE">
        <w:rPr>
          <w:sz w:val="20"/>
          <w:szCs w:val="20"/>
        </w:rPr>
        <w:t xml:space="preserve">, </w:t>
      </w:r>
      <w:r>
        <w:rPr>
          <w:i/>
          <w:sz w:val="20"/>
          <w:szCs w:val="20"/>
        </w:rPr>
        <w:t>i</w:t>
      </w:r>
      <w:r>
        <w:rPr>
          <w:i/>
          <w:sz w:val="20"/>
        </w:rPr>
        <w:t xml:space="preserve">n </w:t>
      </w:r>
      <w:r w:rsidRPr="007274FB">
        <w:rPr>
          <w:smallCaps/>
          <w:sz w:val="20"/>
          <w:szCs w:val="20"/>
        </w:rPr>
        <w:t>Proceedings of a Preconference of the Professional Agricultural Workers Conference</w:t>
      </w:r>
      <w:r>
        <w:rPr>
          <w:smallCaps/>
          <w:sz w:val="20"/>
          <w:szCs w:val="20"/>
        </w:rPr>
        <w:t xml:space="preserve"> (</w:t>
      </w:r>
      <w:proofErr w:type="spellStart"/>
      <w:r>
        <w:rPr>
          <w:sz w:val="20"/>
        </w:rPr>
        <w:t>Ntam</w:t>
      </w:r>
      <w:proofErr w:type="spellEnd"/>
      <w:r>
        <w:rPr>
          <w:sz w:val="20"/>
        </w:rPr>
        <w:t xml:space="preserve"> </w:t>
      </w:r>
      <w:proofErr w:type="spellStart"/>
      <w:r>
        <w:rPr>
          <w:sz w:val="20"/>
        </w:rPr>
        <w:t>Baharanyi</w:t>
      </w:r>
      <w:proofErr w:type="spellEnd"/>
      <w:r>
        <w:rPr>
          <w:sz w:val="20"/>
        </w:rPr>
        <w:t xml:space="preserve"> et al, eds</w:t>
      </w:r>
      <w:proofErr w:type="gramStart"/>
      <w:r>
        <w:rPr>
          <w:sz w:val="20"/>
        </w:rPr>
        <w:t>.,</w:t>
      </w:r>
      <w:proofErr w:type="gramEnd"/>
      <w:r>
        <w:rPr>
          <w:sz w:val="20"/>
        </w:rPr>
        <w:t xml:space="preserve"> Tuskegee University and the Southern Rural Development Center, 1993),</w:t>
      </w:r>
      <w:r>
        <w:rPr>
          <w:smallCaps/>
          <w:sz w:val="20"/>
          <w:szCs w:val="20"/>
        </w:rPr>
        <w:t xml:space="preserve"> </w:t>
      </w:r>
      <w:r w:rsidRPr="00C553AE">
        <w:rPr>
          <w:sz w:val="20"/>
        </w:rPr>
        <w:t>http://goo.gl/4iCrN</w:t>
      </w:r>
      <w:r>
        <w:rPr>
          <w:sz w:val="20"/>
        </w:rPr>
        <w:t xml:space="preserve"> (“</w:t>
      </w:r>
      <w:r w:rsidRPr="00C553AE">
        <w:rPr>
          <w:sz w:val="20"/>
          <w:szCs w:val="20"/>
        </w:rPr>
        <w:t>[D]</w:t>
      </w:r>
      <w:proofErr w:type="spellStart"/>
      <w:r w:rsidRPr="00C553AE">
        <w:rPr>
          <w:sz w:val="20"/>
          <w:szCs w:val="20"/>
        </w:rPr>
        <w:t>uring</w:t>
      </w:r>
      <w:proofErr w:type="spellEnd"/>
      <w:r w:rsidRPr="00C553AE">
        <w:rPr>
          <w:sz w:val="20"/>
          <w:szCs w:val="20"/>
        </w:rPr>
        <w:t xml:space="preserve"> the period of 1964 to 1967, black farmers, who constituted about a t</w:t>
      </w:r>
      <w:r>
        <w:rPr>
          <w:sz w:val="20"/>
          <w:szCs w:val="20"/>
        </w:rPr>
        <w:t xml:space="preserve">hird of all farms in the South, </w:t>
      </w:r>
      <w:r w:rsidRPr="00C553AE">
        <w:rPr>
          <w:sz w:val="20"/>
          <w:szCs w:val="20"/>
        </w:rPr>
        <w:t xml:space="preserve">received only a fourth of all loans and only a seventh of the total funds from the </w:t>
      </w:r>
      <w:proofErr w:type="spellStart"/>
      <w:r w:rsidRPr="00C553AE">
        <w:rPr>
          <w:sz w:val="20"/>
          <w:szCs w:val="20"/>
        </w:rPr>
        <w:t>FmHA</w:t>
      </w:r>
      <w:proofErr w:type="spellEnd"/>
      <w:r w:rsidRPr="00C553AE">
        <w:rPr>
          <w:sz w:val="20"/>
          <w:szCs w:val="20"/>
        </w:rPr>
        <w:t>.</w:t>
      </w:r>
      <w:r>
        <w:rPr>
          <w:sz w:val="20"/>
          <w:szCs w:val="20"/>
        </w:rPr>
        <w:t xml:space="preserve"> Furthermore, between 1966 and 1976, the percentage of </w:t>
      </w:r>
      <w:proofErr w:type="spellStart"/>
      <w:r>
        <w:rPr>
          <w:sz w:val="20"/>
          <w:szCs w:val="20"/>
        </w:rPr>
        <w:t>FmHA</w:t>
      </w:r>
      <w:proofErr w:type="spellEnd"/>
      <w:r>
        <w:rPr>
          <w:sz w:val="20"/>
          <w:szCs w:val="20"/>
        </w:rPr>
        <w:t xml:space="preserve"> farm ownership loans made to black farmers declined from 5.7 percent to 1.5 percent, suggesting discrimination on the part of </w:t>
      </w:r>
      <w:proofErr w:type="spellStart"/>
      <w:r>
        <w:rPr>
          <w:sz w:val="20"/>
          <w:szCs w:val="20"/>
        </w:rPr>
        <w:t>FmHA</w:t>
      </w:r>
      <w:proofErr w:type="spellEnd"/>
      <w:r>
        <w:rPr>
          <w:sz w:val="20"/>
          <w:szCs w:val="20"/>
        </w:rPr>
        <w:t xml:space="preserve">. This agency is part of the local political machinery and has been the subject of many investigations by the U.S. Commission on Civil Rights.”). </w:t>
      </w:r>
      <w:r>
        <w:rPr>
          <w:i/>
          <w:sz w:val="20"/>
          <w:szCs w:val="20"/>
        </w:rPr>
        <w:t xml:space="preserve">See generally </w:t>
      </w:r>
      <w:r>
        <w:rPr>
          <w:sz w:val="20"/>
          <w:szCs w:val="20"/>
        </w:rPr>
        <w:t xml:space="preserve">Thomas W. Mitchell, </w:t>
      </w:r>
      <w:r>
        <w:rPr>
          <w:i/>
          <w:sz w:val="20"/>
          <w:szCs w:val="20"/>
        </w:rPr>
        <w:t>Destabilizing the Normalization of Rural Black Land Loss: A Critical Role for Legal Empiricism</w:t>
      </w:r>
      <w:r>
        <w:rPr>
          <w:sz w:val="20"/>
          <w:szCs w:val="20"/>
        </w:rPr>
        <w:t xml:space="preserve">, </w:t>
      </w:r>
      <w:proofErr w:type="gramStart"/>
      <w:r>
        <w:rPr>
          <w:smallCaps/>
          <w:sz w:val="20"/>
          <w:szCs w:val="20"/>
        </w:rPr>
        <w:t>2005</w:t>
      </w:r>
      <w:proofErr w:type="gramEnd"/>
      <w:r>
        <w:rPr>
          <w:smallCaps/>
          <w:sz w:val="20"/>
          <w:szCs w:val="20"/>
        </w:rPr>
        <w:t xml:space="preserve"> Wis</w:t>
      </w:r>
      <w:r w:rsidRPr="00E94791">
        <w:rPr>
          <w:smallCaps/>
          <w:sz w:val="20"/>
          <w:szCs w:val="20"/>
        </w:rPr>
        <w:t>. L. Rev. 557</w:t>
      </w:r>
      <w:r>
        <w:rPr>
          <w:sz w:val="20"/>
          <w:szCs w:val="20"/>
        </w:rPr>
        <w:t xml:space="preserve"> (2005) (examining legal methods by which African American landowners were dispossessed of their land in the twentieth century); </w:t>
      </w:r>
      <w:r w:rsidRPr="004354CB">
        <w:rPr>
          <w:sz w:val="20"/>
          <w:szCs w:val="20"/>
        </w:rPr>
        <w:t>Ta-</w:t>
      </w:r>
      <w:proofErr w:type="spellStart"/>
      <w:r w:rsidRPr="004354CB">
        <w:rPr>
          <w:sz w:val="20"/>
          <w:szCs w:val="20"/>
        </w:rPr>
        <w:t>Nehisi</w:t>
      </w:r>
      <w:proofErr w:type="spellEnd"/>
      <w:r w:rsidRPr="004354CB">
        <w:rPr>
          <w:sz w:val="20"/>
          <w:szCs w:val="20"/>
        </w:rPr>
        <w:t xml:space="preserve"> Coates, </w:t>
      </w:r>
      <w:r w:rsidRPr="004354CB">
        <w:rPr>
          <w:i/>
          <w:sz w:val="20"/>
          <w:szCs w:val="20"/>
        </w:rPr>
        <w:t>The Case for Reparations</w:t>
      </w:r>
      <w:r w:rsidRPr="004354CB">
        <w:rPr>
          <w:sz w:val="20"/>
          <w:szCs w:val="20"/>
        </w:rPr>
        <w:t xml:space="preserve">, </w:t>
      </w:r>
      <w:r w:rsidRPr="004354CB">
        <w:rPr>
          <w:smallCaps/>
          <w:sz w:val="20"/>
          <w:szCs w:val="20"/>
        </w:rPr>
        <w:t>The Atlantic,</w:t>
      </w:r>
      <w:r w:rsidRPr="004354CB">
        <w:rPr>
          <w:sz w:val="20"/>
          <w:szCs w:val="20"/>
        </w:rPr>
        <w:t xml:space="preserve"> Jun. 2014, https://www.theatlantic.com/magazine/archive/2014/06/the-case-for-reparations/361631/ </w:t>
      </w:r>
      <w:r w:rsidRPr="00A742D9">
        <w:rPr>
          <w:sz w:val="20"/>
          <w:szCs w:val="20"/>
        </w:rPr>
        <w:t>(discussing Associated Press’s series revealing the theft of African American land since antebellum period).</w:t>
      </w:r>
      <w:r>
        <w:rPr>
          <w:sz w:val="20"/>
          <w:szCs w:val="20"/>
        </w:rPr>
        <w:t xml:space="preserve"> </w:t>
      </w:r>
    </w:p>
  </w:footnote>
  <w:footnote w:id="18">
    <w:p w14:paraId="1EB766B1" w14:textId="1823CA20" w:rsidR="0084636B" w:rsidRPr="003431E3" w:rsidRDefault="0084636B" w:rsidP="00A7291D">
      <w:pPr>
        <w:pStyle w:val="FootnoteText"/>
        <w:spacing w:before="60"/>
        <w:jc w:val="both"/>
        <w:rPr>
          <w:i/>
        </w:rPr>
      </w:pPr>
      <w:r>
        <w:rPr>
          <w:rStyle w:val="FootnoteReference"/>
        </w:rPr>
        <w:footnoteRef/>
      </w:r>
      <w:r>
        <w:t xml:space="preserve"> </w:t>
      </w:r>
      <w:r>
        <w:rPr>
          <w:sz w:val="20"/>
        </w:rPr>
        <w:t xml:space="preserve">Nicole, </w:t>
      </w:r>
      <w:r>
        <w:rPr>
          <w:i/>
          <w:sz w:val="20"/>
        </w:rPr>
        <w:t xml:space="preserve">supra </w:t>
      </w:r>
      <w:r>
        <w:rPr>
          <w:sz w:val="20"/>
        </w:rPr>
        <w:t>note 14, at A183.</w:t>
      </w:r>
    </w:p>
  </w:footnote>
  <w:footnote w:id="19">
    <w:p w14:paraId="3A64604A" w14:textId="73773863" w:rsidR="0084636B" w:rsidRPr="00FB1943" w:rsidRDefault="0084636B" w:rsidP="00FB1943">
      <w:pPr>
        <w:pStyle w:val="FootnoteText"/>
        <w:spacing w:before="60"/>
        <w:jc w:val="both"/>
      </w:pPr>
      <w:r>
        <w:rPr>
          <w:rStyle w:val="FootnoteReference"/>
        </w:rPr>
        <w:footnoteRef/>
      </w:r>
      <w:r>
        <w:t xml:space="preserve"> </w:t>
      </w:r>
      <w:r>
        <w:rPr>
          <w:i/>
          <w:sz w:val="20"/>
        </w:rPr>
        <w:t xml:space="preserve">Id. </w:t>
      </w:r>
      <w:r>
        <w:rPr>
          <w:sz w:val="20"/>
        </w:rPr>
        <w:t xml:space="preserve">(“North Carolina went from fifteenth to second in hog production between the mid-1980s and mid-1990s.” </w:t>
      </w:r>
      <w:r w:rsidRPr="00FB1943">
        <w:rPr>
          <w:sz w:val="20"/>
          <w:szCs w:val="20"/>
        </w:rPr>
        <w:t>(</w:t>
      </w:r>
      <w:proofErr w:type="gramStart"/>
      <w:r w:rsidRPr="00FB1943">
        <w:rPr>
          <w:sz w:val="20"/>
          <w:szCs w:val="20"/>
        </w:rPr>
        <w:t>citing</w:t>
      </w:r>
      <w:proofErr w:type="gramEnd"/>
      <w:r w:rsidRPr="00FB1943">
        <w:rPr>
          <w:sz w:val="20"/>
          <w:szCs w:val="20"/>
        </w:rPr>
        <w:t xml:space="preserve"> </w:t>
      </w:r>
      <w:r>
        <w:rPr>
          <w:sz w:val="20"/>
          <w:szCs w:val="20"/>
        </w:rPr>
        <w:t xml:space="preserve">Owen J. </w:t>
      </w:r>
      <w:proofErr w:type="spellStart"/>
      <w:r>
        <w:rPr>
          <w:sz w:val="20"/>
          <w:szCs w:val="20"/>
        </w:rPr>
        <w:t>Furuseth</w:t>
      </w:r>
      <w:proofErr w:type="spellEnd"/>
      <w:r>
        <w:rPr>
          <w:sz w:val="20"/>
          <w:szCs w:val="20"/>
        </w:rPr>
        <w:t>,</w:t>
      </w:r>
      <w:r w:rsidRPr="00FB1943">
        <w:rPr>
          <w:sz w:val="20"/>
          <w:szCs w:val="20"/>
        </w:rPr>
        <w:t xml:space="preserve"> </w:t>
      </w:r>
      <w:r w:rsidRPr="00FB1943">
        <w:rPr>
          <w:i/>
          <w:sz w:val="20"/>
          <w:szCs w:val="20"/>
        </w:rPr>
        <w:t xml:space="preserve">Restructuring of </w:t>
      </w:r>
      <w:r>
        <w:rPr>
          <w:i/>
          <w:sz w:val="20"/>
          <w:szCs w:val="20"/>
        </w:rPr>
        <w:t>Hog F</w:t>
      </w:r>
      <w:r w:rsidRPr="00FB1943">
        <w:rPr>
          <w:i/>
          <w:sz w:val="20"/>
          <w:szCs w:val="20"/>
        </w:rPr>
        <w:t xml:space="preserve">arming in North Carolina: </w:t>
      </w:r>
      <w:r>
        <w:rPr>
          <w:i/>
          <w:sz w:val="20"/>
          <w:szCs w:val="20"/>
        </w:rPr>
        <w:t>Explosion and I</w:t>
      </w:r>
      <w:r w:rsidRPr="00FB1943">
        <w:rPr>
          <w:i/>
          <w:sz w:val="20"/>
          <w:szCs w:val="20"/>
        </w:rPr>
        <w:t>mplosion</w:t>
      </w:r>
      <w:r>
        <w:rPr>
          <w:sz w:val="20"/>
          <w:szCs w:val="20"/>
        </w:rPr>
        <w:t xml:space="preserve">, </w:t>
      </w:r>
      <w:r w:rsidRPr="00B13FC0">
        <w:rPr>
          <w:smallCaps/>
          <w:sz w:val="20"/>
          <w:szCs w:val="20"/>
        </w:rPr>
        <w:t>49 The Professional Geographer</w:t>
      </w:r>
      <w:r>
        <w:rPr>
          <w:sz w:val="20"/>
          <w:szCs w:val="20"/>
        </w:rPr>
        <w:t xml:space="preserve"> 391 (1997))). </w:t>
      </w:r>
    </w:p>
  </w:footnote>
  <w:footnote w:id="20">
    <w:p w14:paraId="4BE394E1" w14:textId="3C9BB1C7" w:rsidR="0084636B" w:rsidRDefault="0084636B" w:rsidP="00D21F74">
      <w:pPr>
        <w:pStyle w:val="FootnoteText"/>
        <w:jc w:val="both"/>
      </w:pPr>
      <w:r>
        <w:rPr>
          <w:rStyle w:val="FootnoteReference"/>
        </w:rPr>
        <w:footnoteRef/>
      </w:r>
      <w:r>
        <w:t xml:space="preserve"> </w:t>
      </w:r>
      <w:r w:rsidRPr="00D21F74">
        <w:rPr>
          <w:sz w:val="20"/>
          <w:szCs w:val="20"/>
        </w:rPr>
        <w:t xml:space="preserve">Steve Wing and Jill Johnston, Industrial Hog Operations in North Carolina Disproportionately Impact African-Americans Hispanics and American Indians </w:t>
      </w:r>
      <w:r>
        <w:rPr>
          <w:sz w:val="20"/>
          <w:szCs w:val="20"/>
        </w:rPr>
        <w:t xml:space="preserve">1 </w:t>
      </w:r>
      <w:r w:rsidRPr="00D21F74">
        <w:rPr>
          <w:sz w:val="20"/>
          <w:szCs w:val="20"/>
        </w:rPr>
        <w:t>(Aug. 29, 2014)</w:t>
      </w:r>
      <w:r>
        <w:rPr>
          <w:sz w:val="20"/>
          <w:szCs w:val="20"/>
        </w:rPr>
        <w:t xml:space="preserve"> (unpublished manuscript)</w:t>
      </w:r>
      <w:r w:rsidRPr="00D21F74">
        <w:rPr>
          <w:sz w:val="20"/>
          <w:szCs w:val="20"/>
        </w:rPr>
        <w:t>, https://www.facingsouth.org/sites/default/files/wing_hogs_ej_paper.pdf.</w:t>
      </w:r>
    </w:p>
  </w:footnote>
  <w:footnote w:id="21">
    <w:p w14:paraId="4847AB8E" w14:textId="028D7C40" w:rsidR="0084636B" w:rsidRPr="007C7536" w:rsidRDefault="0084636B" w:rsidP="001377FE">
      <w:pPr>
        <w:pStyle w:val="FootnoteText"/>
        <w:spacing w:before="60"/>
        <w:jc w:val="both"/>
        <w:rPr>
          <w:i/>
        </w:rPr>
      </w:pPr>
      <w:r>
        <w:rPr>
          <w:rStyle w:val="FootnoteReference"/>
        </w:rPr>
        <w:footnoteRef/>
      </w:r>
      <w:r>
        <w:t xml:space="preserve"> </w:t>
      </w:r>
      <w:r>
        <w:rPr>
          <w:sz w:val="20"/>
        </w:rPr>
        <w:t xml:space="preserve">Nicole, </w:t>
      </w:r>
      <w:r>
        <w:rPr>
          <w:i/>
          <w:sz w:val="20"/>
        </w:rPr>
        <w:t xml:space="preserve">supra </w:t>
      </w:r>
      <w:r>
        <w:rPr>
          <w:sz w:val="20"/>
        </w:rPr>
        <w:t xml:space="preserve">note 14, at A183. </w:t>
      </w:r>
    </w:p>
  </w:footnote>
  <w:footnote w:id="22">
    <w:p w14:paraId="618BFE34" w14:textId="19187FFB" w:rsidR="0084636B" w:rsidRPr="001377FE" w:rsidRDefault="0084636B" w:rsidP="001377FE">
      <w:pPr>
        <w:pStyle w:val="FootnoteText"/>
        <w:spacing w:before="60"/>
        <w:rPr>
          <w:i/>
        </w:rPr>
      </w:pPr>
      <w:r>
        <w:rPr>
          <w:rStyle w:val="FootnoteReference"/>
        </w:rPr>
        <w:footnoteRef/>
      </w:r>
      <w:r>
        <w:t xml:space="preserve"> </w:t>
      </w:r>
      <w:r w:rsidRPr="001377FE">
        <w:rPr>
          <w:i/>
          <w:sz w:val="20"/>
        </w:rPr>
        <w:t xml:space="preserve">Id. </w:t>
      </w:r>
    </w:p>
  </w:footnote>
  <w:footnote w:id="23">
    <w:p w14:paraId="5EB16C7C" w14:textId="303656E3" w:rsidR="0084636B" w:rsidRPr="00725EBC" w:rsidRDefault="0084636B" w:rsidP="00017C7D">
      <w:pPr>
        <w:pStyle w:val="FootnoteText"/>
        <w:spacing w:before="60"/>
        <w:jc w:val="both"/>
      </w:pPr>
      <w:r>
        <w:rPr>
          <w:rStyle w:val="FootnoteReference"/>
        </w:rPr>
        <w:footnoteRef/>
      </w:r>
      <w:r>
        <w:t xml:space="preserve"> </w:t>
      </w:r>
      <w:r w:rsidRPr="00017C7D">
        <w:rPr>
          <w:sz w:val="20"/>
          <w:szCs w:val="20"/>
        </w:rPr>
        <w:t xml:space="preserve">Cordon M. Smart, </w:t>
      </w:r>
      <w:r w:rsidRPr="00017C7D">
        <w:rPr>
          <w:i/>
          <w:sz w:val="20"/>
          <w:szCs w:val="20"/>
        </w:rPr>
        <w:t>The “Right to Commit Nuisance” in North Carolina: A Historical Analysis of the Right-to-Farm Act</w:t>
      </w:r>
      <w:r w:rsidRPr="00017C7D">
        <w:rPr>
          <w:sz w:val="20"/>
          <w:szCs w:val="20"/>
        </w:rPr>
        <w:t xml:space="preserve">, </w:t>
      </w:r>
      <w:r w:rsidRPr="00017C7D">
        <w:rPr>
          <w:smallCaps/>
          <w:sz w:val="20"/>
          <w:szCs w:val="20"/>
        </w:rPr>
        <w:t>94 N.C. L. Rev. 2097</w:t>
      </w:r>
      <w:r>
        <w:rPr>
          <w:smallCaps/>
          <w:sz w:val="20"/>
          <w:szCs w:val="20"/>
        </w:rPr>
        <w:t>, 2105</w:t>
      </w:r>
      <w:r w:rsidRPr="00017C7D">
        <w:rPr>
          <w:sz w:val="20"/>
          <w:szCs w:val="20"/>
        </w:rPr>
        <w:t xml:space="preserve"> (2016)</w:t>
      </w:r>
      <w:r>
        <w:rPr>
          <w:sz w:val="20"/>
          <w:szCs w:val="20"/>
        </w:rPr>
        <w:t xml:space="preserve"> </w:t>
      </w:r>
      <w:r w:rsidRPr="00017C7D">
        <w:rPr>
          <w:sz w:val="20"/>
          <w:szCs w:val="20"/>
        </w:rPr>
        <w:t xml:space="preserve">(citing </w:t>
      </w:r>
      <w:r w:rsidRPr="00017C7D">
        <w:rPr>
          <w:smallCaps/>
          <w:sz w:val="20"/>
          <w:szCs w:val="20"/>
        </w:rPr>
        <w:t>U.S. Dep’t of Agric., ACH12-4, 2012 Census Highlights: Hog and Pig Farming</w:t>
      </w:r>
      <w:r w:rsidRPr="00017C7D">
        <w:rPr>
          <w:sz w:val="20"/>
          <w:szCs w:val="20"/>
        </w:rPr>
        <w:t xml:space="preserve"> 1</w:t>
      </w:r>
      <w:r>
        <w:rPr>
          <w:sz w:val="20"/>
          <w:szCs w:val="20"/>
        </w:rPr>
        <w:t xml:space="preserve"> </w:t>
      </w:r>
      <w:r w:rsidRPr="00017C7D">
        <w:rPr>
          <w:sz w:val="20"/>
          <w:szCs w:val="20"/>
        </w:rPr>
        <w:t xml:space="preserve"> (2014), http://www.agcensus.usda.gov/Publications/2012/Online_Resources/Highlights/</w:t>
      </w:r>
      <w:r>
        <w:rPr>
          <w:sz w:val="20"/>
          <w:szCs w:val="20"/>
        </w:rPr>
        <w:br/>
      </w:r>
      <w:r w:rsidRPr="00017C7D">
        <w:rPr>
          <w:sz w:val="20"/>
          <w:szCs w:val="20"/>
        </w:rPr>
        <w:t xml:space="preserve">Hog_and_Pig_Farming/ [https://perma.cc/4RD6-3KLD]). </w:t>
      </w:r>
    </w:p>
  </w:footnote>
  <w:footnote w:id="24">
    <w:p w14:paraId="161E81F2" w14:textId="3A4C636E" w:rsidR="0084636B" w:rsidRDefault="0084636B" w:rsidP="00210F0E">
      <w:pPr>
        <w:pStyle w:val="FootnoteText"/>
        <w:spacing w:before="60"/>
        <w:jc w:val="both"/>
      </w:pPr>
      <w:r>
        <w:rPr>
          <w:rStyle w:val="FootnoteReference"/>
        </w:rPr>
        <w:footnoteRef/>
      </w:r>
      <w:r>
        <w:t xml:space="preserve"> </w:t>
      </w:r>
      <w:r w:rsidRPr="00010847">
        <w:rPr>
          <w:sz w:val="20"/>
          <w:szCs w:val="20"/>
        </w:rPr>
        <w:t xml:space="preserve">Calvin </w:t>
      </w:r>
      <w:proofErr w:type="spellStart"/>
      <w:r w:rsidRPr="00010847">
        <w:rPr>
          <w:sz w:val="20"/>
          <w:szCs w:val="20"/>
        </w:rPr>
        <w:t>Harmin</w:t>
      </w:r>
      <w:proofErr w:type="spellEnd"/>
      <w:r w:rsidRPr="00010847">
        <w:rPr>
          <w:sz w:val="20"/>
          <w:szCs w:val="20"/>
        </w:rPr>
        <w:t xml:space="preserve">, </w:t>
      </w:r>
      <w:r w:rsidRPr="003D4083">
        <w:rPr>
          <w:sz w:val="20"/>
          <w:szCs w:val="20"/>
        </w:rPr>
        <w:t>Flood Vulnerability of Hog Farms In Eastern North Carolina: An Inconvenient Poop</w:t>
      </w:r>
      <w:r>
        <w:rPr>
          <w:sz w:val="20"/>
          <w:szCs w:val="20"/>
        </w:rPr>
        <w:t xml:space="preserve"> 8 (Nov. 11, 2015) (unpublished M.A. dissertation, East Carolina University)</w:t>
      </w:r>
      <w:r w:rsidRPr="00010847">
        <w:rPr>
          <w:sz w:val="20"/>
          <w:szCs w:val="20"/>
        </w:rPr>
        <w:t>,</w:t>
      </w:r>
      <w:r>
        <w:rPr>
          <w:sz w:val="20"/>
          <w:szCs w:val="20"/>
        </w:rPr>
        <w:t xml:space="preserve"> </w:t>
      </w:r>
      <w:r w:rsidRPr="00010847">
        <w:rPr>
          <w:sz w:val="20"/>
          <w:szCs w:val="20"/>
        </w:rPr>
        <w:t>http://thescholarship.ecu.edu/bitstream/handle/</w:t>
      </w:r>
      <w:r>
        <w:rPr>
          <w:sz w:val="20"/>
          <w:szCs w:val="20"/>
        </w:rPr>
        <w:br/>
      </w:r>
      <w:r w:rsidRPr="00010847">
        <w:rPr>
          <w:sz w:val="20"/>
          <w:szCs w:val="20"/>
        </w:rPr>
        <w:t>10342/5143/HARMIN-MASTERSTHESIS-2015.pdf</w:t>
      </w:r>
      <w:proofErr w:type="gramStart"/>
      <w:r w:rsidRPr="00010847">
        <w:rPr>
          <w:sz w:val="20"/>
          <w:szCs w:val="20"/>
        </w:rPr>
        <w:t>?sequence</w:t>
      </w:r>
      <w:proofErr w:type="gramEnd"/>
      <w:r w:rsidRPr="00010847">
        <w:rPr>
          <w:sz w:val="20"/>
          <w:szCs w:val="20"/>
        </w:rPr>
        <w:t>=1</w:t>
      </w:r>
      <w:r>
        <w:rPr>
          <w:sz w:val="20"/>
          <w:szCs w:val="20"/>
        </w:rPr>
        <w:t>.</w:t>
      </w:r>
    </w:p>
  </w:footnote>
  <w:footnote w:id="25">
    <w:p w14:paraId="11BD78CF" w14:textId="7F14AAF7" w:rsidR="0084636B" w:rsidRPr="00205F3B" w:rsidRDefault="0084636B" w:rsidP="00497652">
      <w:pPr>
        <w:pStyle w:val="FootnoteText"/>
        <w:spacing w:before="60"/>
        <w:jc w:val="both"/>
        <w:rPr>
          <w:i/>
        </w:rPr>
      </w:pPr>
      <w:r>
        <w:rPr>
          <w:rStyle w:val="FootnoteReference"/>
        </w:rPr>
        <w:footnoteRef/>
      </w:r>
      <w:r>
        <w:t xml:space="preserve"> </w:t>
      </w:r>
      <w:r w:rsidRPr="00725EBC">
        <w:rPr>
          <w:i/>
          <w:sz w:val="20"/>
          <w:szCs w:val="20"/>
        </w:rPr>
        <w:t>Exposing Fields of Filth: Landmark Report Maps Feces-Laden Hog and Chicken Operations in North Carolina</w:t>
      </w:r>
      <w:r w:rsidRPr="00725EBC">
        <w:rPr>
          <w:sz w:val="20"/>
          <w:szCs w:val="20"/>
        </w:rPr>
        <w:t xml:space="preserve">, </w:t>
      </w:r>
      <w:r>
        <w:rPr>
          <w:smallCaps/>
          <w:sz w:val="20"/>
          <w:szCs w:val="20"/>
        </w:rPr>
        <w:t>Envtl.</w:t>
      </w:r>
      <w:r w:rsidRPr="005B2F49">
        <w:rPr>
          <w:smallCaps/>
          <w:sz w:val="20"/>
          <w:szCs w:val="20"/>
        </w:rPr>
        <w:t xml:space="preserve"> Working Group</w:t>
      </w:r>
      <w:r>
        <w:rPr>
          <w:sz w:val="20"/>
          <w:szCs w:val="20"/>
        </w:rPr>
        <w:t xml:space="preserve"> (Jun. 21, 2016), </w:t>
      </w:r>
      <w:r w:rsidRPr="00151DFB">
        <w:rPr>
          <w:sz w:val="20"/>
          <w:szCs w:val="20"/>
        </w:rPr>
        <w:t>http://www.ewg.org/research/exposing-fields-filth</w:t>
      </w:r>
      <w:r>
        <w:rPr>
          <w:sz w:val="20"/>
          <w:szCs w:val="20"/>
        </w:rPr>
        <w:t>.</w:t>
      </w:r>
    </w:p>
  </w:footnote>
  <w:footnote w:id="26">
    <w:p w14:paraId="270796CF" w14:textId="5DFF8DED" w:rsidR="0084636B" w:rsidRPr="00DA078C" w:rsidRDefault="0084636B" w:rsidP="00DA078C">
      <w:pPr>
        <w:pStyle w:val="FootnoteText"/>
        <w:spacing w:before="60"/>
        <w:jc w:val="both"/>
        <w:rPr>
          <w:sz w:val="20"/>
        </w:rPr>
      </w:pPr>
      <w:r>
        <w:rPr>
          <w:rStyle w:val="FootnoteReference"/>
        </w:rPr>
        <w:footnoteRef/>
      </w:r>
      <w:r>
        <w:t xml:space="preserve"> </w:t>
      </w:r>
      <w:r>
        <w:rPr>
          <w:sz w:val="20"/>
        </w:rPr>
        <w:t xml:space="preserve">Calvin, </w:t>
      </w:r>
      <w:r>
        <w:rPr>
          <w:i/>
          <w:sz w:val="20"/>
        </w:rPr>
        <w:t xml:space="preserve">supra </w:t>
      </w:r>
      <w:r>
        <w:rPr>
          <w:sz w:val="20"/>
        </w:rPr>
        <w:t>note 24, at 16.</w:t>
      </w:r>
    </w:p>
  </w:footnote>
  <w:footnote w:id="27">
    <w:p w14:paraId="365AE756" w14:textId="2662E636" w:rsidR="0084636B" w:rsidRPr="000E601B" w:rsidRDefault="0084636B" w:rsidP="00497652">
      <w:pPr>
        <w:pStyle w:val="FootnoteText"/>
        <w:spacing w:before="60"/>
        <w:jc w:val="both"/>
        <w:rPr>
          <w:sz w:val="22"/>
        </w:rPr>
      </w:pPr>
      <w:r w:rsidRPr="000E601B">
        <w:rPr>
          <w:rStyle w:val="FootnoteReference"/>
        </w:rPr>
        <w:footnoteRef/>
      </w:r>
      <w:r w:rsidRPr="000E601B">
        <w:rPr>
          <w:sz w:val="22"/>
        </w:rPr>
        <w:t xml:space="preserve"> </w:t>
      </w:r>
      <w:proofErr w:type="spellStart"/>
      <w:r w:rsidRPr="000E601B">
        <w:rPr>
          <w:smallCaps/>
          <w:sz w:val="20"/>
          <w:szCs w:val="20"/>
        </w:rPr>
        <w:t>Anand</w:t>
      </w:r>
      <w:proofErr w:type="spellEnd"/>
      <w:r w:rsidRPr="000E601B">
        <w:rPr>
          <w:smallCaps/>
          <w:sz w:val="20"/>
          <w:szCs w:val="20"/>
        </w:rPr>
        <w:t xml:space="preserve"> M. </w:t>
      </w:r>
      <w:proofErr w:type="spellStart"/>
      <w:r w:rsidRPr="000E601B">
        <w:rPr>
          <w:smallCaps/>
          <w:sz w:val="20"/>
          <w:szCs w:val="20"/>
        </w:rPr>
        <w:t>Saxena</w:t>
      </w:r>
      <w:proofErr w:type="spellEnd"/>
      <w:r w:rsidRPr="000E601B">
        <w:rPr>
          <w:smallCaps/>
          <w:sz w:val="20"/>
          <w:szCs w:val="20"/>
        </w:rPr>
        <w:t>, The Vegetarian Imperative</w:t>
      </w:r>
      <w:r w:rsidRPr="000E601B">
        <w:rPr>
          <w:sz w:val="20"/>
        </w:rPr>
        <w:t xml:space="preserve"> 32 (2011). </w:t>
      </w:r>
    </w:p>
  </w:footnote>
  <w:footnote w:id="28">
    <w:p w14:paraId="642480F3" w14:textId="77777777" w:rsidR="0084636B" w:rsidRPr="008A7169" w:rsidRDefault="0084636B" w:rsidP="00D72FDB">
      <w:pPr>
        <w:pStyle w:val="FootnoteText"/>
        <w:spacing w:before="60"/>
        <w:jc w:val="both"/>
        <w:rPr>
          <w:i/>
        </w:rPr>
      </w:pPr>
      <w:r>
        <w:rPr>
          <w:rStyle w:val="FootnoteReference"/>
        </w:rPr>
        <w:footnoteRef/>
      </w:r>
      <w:r>
        <w:t xml:space="preserve"> </w:t>
      </w:r>
      <w:proofErr w:type="spellStart"/>
      <w:r w:rsidRPr="00EF59CA">
        <w:rPr>
          <w:smallCaps/>
          <w:sz w:val="20"/>
          <w:szCs w:val="20"/>
        </w:rPr>
        <w:t>Robbin</w:t>
      </w:r>
      <w:proofErr w:type="spellEnd"/>
      <w:r w:rsidRPr="00EF59CA">
        <w:rPr>
          <w:smallCaps/>
          <w:sz w:val="20"/>
          <w:szCs w:val="20"/>
        </w:rPr>
        <w:t xml:space="preserve"> Marks, </w:t>
      </w:r>
      <w:r w:rsidRPr="0011445E">
        <w:rPr>
          <w:smallCaps/>
          <w:sz w:val="20"/>
          <w:szCs w:val="20"/>
        </w:rPr>
        <w:t>Natural Resources Defense Council</w:t>
      </w:r>
      <w:r>
        <w:rPr>
          <w:sz w:val="20"/>
        </w:rPr>
        <w:t xml:space="preserve">, </w:t>
      </w:r>
      <w:r w:rsidRPr="00EF59CA">
        <w:rPr>
          <w:smallCaps/>
          <w:sz w:val="20"/>
          <w:szCs w:val="20"/>
        </w:rPr>
        <w:t xml:space="preserve">Cesspools of Shame: How Factory Farm Lagoons and </w:t>
      </w:r>
      <w:proofErr w:type="spellStart"/>
      <w:r w:rsidRPr="00EF59CA">
        <w:rPr>
          <w:smallCaps/>
          <w:sz w:val="20"/>
          <w:szCs w:val="20"/>
        </w:rPr>
        <w:t>Sprayfields</w:t>
      </w:r>
      <w:proofErr w:type="spellEnd"/>
      <w:r w:rsidRPr="00EF59CA">
        <w:rPr>
          <w:smallCaps/>
          <w:sz w:val="20"/>
          <w:szCs w:val="20"/>
        </w:rPr>
        <w:t xml:space="preserve"> Threaten Environmental and Public Health</w:t>
      </w:r>
      <w:r>
        <w:rPr>
          <w:smallCaps/>
          <w:sz w:val="20"/>
          <w:szCs w:val="20"/>
        </w:rPr>
        <w:t xml:space="preserve"> 3</w:t>
      </w:r>
      <w:r>
        <w:rPr>
          <w:sz w:val="20"/>
        </w:rPr>
        <w:t xml:space="preserve"> (Jul. 2001), </w:t>
      </w:r>
      <w:r w:rsidRPr="0011445E">
        <w:rPr>
          <w:sz w:val="20"/>
        </w:rPr>
        <w:t>https://www.nrdc.org/sites/default/files/cesspools.pdf</w:t>
      </w:r>
      <w:r>
        <w:rPr>
          <w:sz w:val="20"/>
        </w:rPr>
        <w:t>.</w:t>
      </w:r>
    </w:p>
  </w:footnote>
  <w:footnote w:id="29">
    <w:p w14:paraId="487D991C" w14:textId="70F3977C" w:rsidR="0084636B" w:rsidRPr="00E358FA" w:rsidRDefault="0084636B" w:rsidP="00E358FA">
      <w:pPr>
        <w:pStyle w:val="FootnoteText"/>
        <w:spacing w:before="60"/>
        <w:jc w:val="both"/>
        <w:rPr>
          <w:sz w:val="20"/>
        </w:rPr>
      </w:pPr>
      <w:r>
        <w:rPr>
          <w:rStyle w:val="FootnoteReference"/>
        </w:rPr>
        <w:footnoteRef/>
      </w:r>
      <w:r>
        <w:t xml:space="preserve"> </w:t>
      </w:r>
      <w:r>
        <w:rPr>
          <w:sz w:val="20"/>
        </w:rPr>
        <w:t xml:space="preserve">Elizabeth Friend, </w:t>
      </w:r>
      <w:r>
        <w:rPr>
          <w:i/>
          <w:sz w:val="20"/>
        </w:rPr>
        <w:t>New Maps Detail Scope of NC’s Poultry and Hog Industries</w:t>
      </w:r>
      <w:r>
        <w:rPr>
          <w:sz w:val="20"/>
        </w:rPr>
        <w:t xml:space="preserve">, WUNC 91.5: North Carolina Public Radio (Jun. 24, 2016), </w:t>
      </w:r>
      <w:r w:rsidRPr="00E358FA">
        <w:rPr>
          <w:sz w:val="20"/>
        </w:rPr>
        <w:t>http://wunc.org/post/new-maps-detail-scope-ncs-poultry-and-hog-industries</w:t>
      </w:r>
      <w:r>
        <w:rPr>
          <w:sz w:val="20"/>
        </w:rPr>
        <w:t xml:space="preserve"> (citing </w:t>
      </w:r>
      <w:r w:rsidRPr="00725EBC">
        <w:rPr>
          <w:i/>
          <w:sz w:val="20"/>
          <w:szCs w:val="20"/>
        </w:rPr>
        <w:t xml:space="preserve">Exposing Fields of Filth: </w:t>
      </w:r>
      <w:r>
        <w:rPr>
          <w:i/>
          <w:sz w:val="20"/>
          <w:szCs w:val="20"/>
        </w:rPr>
        <w:t>Locations of Concentrated Animal Feeding Operations in North Carolina</w:t>
      </w:r>
      <w:r w:rsidRPr="00725EBC">
        <w:rPr>
          <w:sz w:val="20"/>
          <w:szCs w:val="20"/>
        </w:rPr>
        <w:t xml:space="preserve">, </w:t>
      </w:r>
      <w:proofErr w:type="spellStart"/>
      <w:r>
        <w:rPr>
          <w:smallCaps/>
          <w:sz w:val="20"/>
          <w:szCs w:val="20"/>
        </w:rPr>
        <w:t>Envtl</w:t>
      </w:r>
      <w:proofErr w:type="spellEnd"/>
      <w:r>
        <w:rPr>
          <w:smallCaps/>
          <w:sz w:val="20"/>
          <w:szCs w:val="20"/>
        </w:rPr>
        <w:t>.</w:t>
      </w:r>
      <w:r w:rsidRPr="005B2F49">
        <w:rPr>
          <w:smallCaps/>
          <w:sz w:val="20"/>
          <w:szCs w:val="20"/>
        </w:rPr>
        <w:t xml:space="preserve"> </w:t>
      </w:r>
      <w:proofErr w:type="gramStart"/>
      <w:r w:rsidRPr="005B2F49">
        <w:rPr>
          <w:smallCaps/>
          <w:sz w:val="20"/>
          <w:szCs w:val="20"/>
        </w:rPr>
        <w:t>Working Group</w:t>
      </w:r>
      <w:r>
        <w:rPr>
          <w:smallCaps/>
          <w:sz w:val="20"/>
          <w:szCs w:val="20"/>
        </w:rPr>
        <w:t xml:space="preserve"> &amp; </w:t>
      </w:r>
      <w:proofErr w:type="spellStart"/>
      <w:r>
        <w:rPr>
          <w:smallCaps/>
          <w:sz w:val="20"/>
          <w:szCs w:val="20"/>
        </w:rPr>
        <w:t>Waterkeeper</w:t>
      </w:r>
      <w:proofErr w:type="spellEnd"/>
      <w:r>
        <w:rPr>
          <w:smallCaps/>
          <w:sz w:val="20"/>
          <w:szCs w:val="20"/>
        </w:rPr>
        <w:t xml:space="preserve"> Alliance</w:t>
      </w:r>
      <w:r>
        <w:rPr>
          <w:sz w:val="20"/>
          <w:szCs w:val="20"/>
        </w:rPr>
        <w:t xml:space="preserve">, </w:t>
      </w:r>
      <w:r w:rsidRPr="00E65B27">
        <w:rPr>
          <w:sz w:val="20"/>
          <w:szCs w:val="20"/>
        </w:rPr>
        <w:t>http://www.ewg.org/research/exposing-fields-filth</w:t>
      </w:r>
      <w:r>
        <w:rPr>
          <w:sz w:val="20"/>
          <w:szCs w:val="20"/>
        </w:rPr>
        <w:t xml:space="preserve"> (last visited Apr. 7, 2017) (mapping tool to locate CAFOs)).</w:t>
      </w:r>
      <w:proofErr w:type="gramEnd"/>
    </w:p>
  </w:footnote>
  <w:footnote w:id="30">
    <w:p w14:paraId="5C1836D6" w14:textId="55CDC12B" w:rsidR="0084636B" w:rsidRPr="00C833EC" w:rsidRDefault="0084636B" w:rsidP="00497652">
      <w:pPr>
        <w:pStyle w:val="FootnoteText"/>
        <w:spacing w:before="60"/>
      </w:pPr>
      <w:r>
        <w:rPr>
          <w:rStyle w:val="FootnoteReference"/>
        </w:rPr>
        <w:footnoteRef/>
      </w:r>
      <w:r>
        <w:t xml:space="preserve"> </w:t>
      </w:r>
      <w:r>
        <w:rPr>
          <w:sz w:val="20"/>
        </w:rPr>
        <w:t xml:space="preserve">Marks, </w:t>
      </w:r>
      <w:r>
        <w:rPr>
          <w:i/>
          <w:sz w:val="20"/>
        </w:rPr>
        <w:t xml:space="preserve">supra </w:t>
      </w:r>
      <w:r>
        <w:rPr>
          <w:sz w:val="20"/>
        </w:rPr>
        <w:t>note 28, at 1.</w:t>
      </w:r>
    </w:p>
  </w:footnote>
  <w:footnote w:id="31">
    <w:p w14:paraId="788E9E77" w14:textId="40FAA107" w:rsidR="0084636B" w:rsidRPr="00B463DF" w:rsidRDefault="0084636B" w:rsidP="00497652">
      <w:pPr>
        <w:pStyle w:val="FootnoteText"/>
        <w:spacing w:before="60"/>
        <w:jc w:val="both"/>
        <w:rPr>
          <w:i/>
          <w:sz w:val="20"/>
        </w:rPr>
      </w:pPr>
      <w:r>
        <w:rPr>
          <w:rStyle w:val="FootnoteReference"/>
        </w:rPr>
        <w:footnoteRef/>
      </w:r>
      <w:r>
        <w:t xml:space="preserve"> </w:t>
      </w:r>
      <w:r>
        <w:rPr>
          <w:i/>
          <w:sz w:val="20"/>
        </w:rPr>
        <w:t>Id.</w:t>
      </w:r>
    </w:p>
  </w:footnote>
  <w:footnote w:id="32">
    <w:p w14:paraId="035A4070" w14:textId="47D7BF57" w:rsidR="0084636B" w:rsidRPr="00CA1620" w:rsidRDefault="0084636B" w:rsidP="004C30C4">
      <w:pPr>
        <w:pStyle w:val="FootnoteText"/>
        <w:spacing w:before="60"/>
        <w:jc w:val="both"/>
      </w:pPr>
      <w:r>
        <w:rPr>
          <w:rStyle w:val="FootnoteReference"/>
        </w:rPr>
        <w:footnoteRef/>
      </w:r>
      <w:r>
        <w:t xml:space="preserve"> </w:t>
      </w:r>
      <w:r w:rsidRPr="00FE403D">
        <w:rPr>
          <w:i/>
          <w:sz w:val="20"/>
        </w:rPr>
        <w:t xml:space="preserve">Id. </w:t>
      </w:r>
      <w:r>
        <w:rPr>
          <w:sz w:val="20"/>
        </w:rPr>
        <w:t xml:space="preserve">at 1-2; Adam Skolnick, </w:t>
      </w:r>
      <w:r>
        <w:rPr>
          <w:i/>
          <w:sz w:val="20"/>
        </w:rPr>
        <w:t xml:space="preserve">The CAFO Industry’s Impact on the Environment and Public Health: CAFO Farming Is an Environmental and Public Health </w:t>
      </w:r>
      <w:r w:rsidRPr="00D12F21">
        <w:rPr>
          <w:i/>
          <w:sz w:val="20"/>
        </w:rPr>
        <w:t>Disaster</w:t>
      </w:r>
      <w:r>
        <w:rPr>
          <w:sz w:val="20"/>
        </w:rPr>
        <w:t xml:space="preserve">, </w:t>
      </w:r>
      <w:r w:rsidRPr="00D12F21">
        <w:rPr>
          <w:smallCaps/>
          <w:sz w:val="20"/>
          <w:szCs w:val="20"/>
        </w:rPr>
        <w:t>Sierra Club</w:t>
      </w:r>
      <w:r>
        <w:rPr>
          <w:sz w:val="20"/>
        </w:rPr>
        <w:t xml:space="preserve"> (Feb. 23, 2017), </w:t>
      </w:r>
      <w:r w:rsidRPr="00D12F21">
        <w:rPr>
          <w:sz w:val="20"/>
        </w:rPr>
        <w:t>http://www.sierraclub.org/sierra/2017-2-march-april/feature/cafo-industrys-impact-environment-and-public-health</w:t>
      </w:r>
    </w:p>
  </w:footnote>
  <w:footnote w:id="33">
    <w:p w14:paraId="11585BEB" w14:textId="77777777" w:rsidR="0084636B" w:rsidRPr="00171291" w:rsidRDefault="0084636B" w:rsidP="00C17EFF">
      <w:pPr>
        <w:pStyle w:val="FootnoteText"/>
        <w:spacing w:before="60"/>
        <w:jc w:val="both"/>
        <w:rPr>
          <w:sz w:val="20"/>
        </w:rPr>
      </w:pPr>
      <w:r w:rsidRPr="00A06F20">
        <w:rPr>
          <w:rStyle w:val="FootnoteReference"/>
        </w:rPr>
        <w:footnoteRef/>
      </w:r>
      <w:r w:rsidRPr="00A06F20">
        <w:t xml:space="preserve"> </w:t>
      </w:r>
      <w:r w:rsidRPr="00A06F20">
        <w:rPr>
          <w:sz w:val="20"/>
        </w:rPr>
        <w:t>Steve Wing et al,</w:t>
      </w:r>
      <w:r>
        <w:rPr>
          <w:sz w:val="20"/>
        </w:rPr>
        <w:t xml:space="preserve"> </w:t>
      </w:r>
      <w:r>
        <w:rPr>
          <w:i/>
          <w:sz w:val="20"/>
        </w:rPr>
        <w:t>Environmental Injustice in North Carolina’s Hog Industry</w:t>
      </w:r>
      <w:r>
        <w:rPr>
          <w:sz w:val="20"/>
        </w:rPr>
        <w:t xml:space="preserve">, </w:t>
      </w:r>
      <w:r>
        <w:rPr>
          <w:smallCaps/>
          <w:sz w:val="20"/>
          <w:szCs w:val="20"/>
        </w:rPr>
        <w:t xml:space="preserve">108 </w:t>
      </w:r>
      <w:proofErr w:type="spellStart"/>
      <w:r>
        <w:rPr>
          <w:smallCaps/>
          <w:sz w:val="20"/>
          <w:szCs w:val="20"/>
        </w:rPr>
        <w:t>Envtl</w:t>
      </w:r>
      <w:proofErr w:type="spellEnd"/>
      <w:r>
        <w:rPr>
          <w:smallCaps/>
          <w:sz w:val="20"/>
          <w:szCs w:val="20"/>
        </w:rPr>
        <w:t xml:space="preserve">. Health </w:t>
      </w:r>
      <w:proofErr w:type="spellStart"/>
      <w:r>
        <w:rPr>
          <w:smallCaps/>
          <w:sz w:val="20"/>
          <w:szCs w:val="20"/>
        </w:rPr>
        <w:t>Persp</w:t>
      </w:r>
      <w:proofErr w:type="spellEnd"/>
      <w:r>
        <w:rPr>
          <w:smallCaps/>
          <w:sz w:val="20"/>
          <w:szCs w:val="20"/>
        </w:rPr>
        <w:t>.</w:t>
      </w:r>
      <w:r w:rsidRPr="00171291">
        <w:rPr>
          <w:smallCaps/>
          <w:sz w:val="20"/>
          <w:szCs w:val="20"/>
        </w:rPr>
        <w:t xml:space="preserve"> </w:t>
      </w:r>
      <w:proofErr w:type="gramStart"/>
      <w:r w:rsidRPr="00171291">
        <w:rPr>
          <w:smallCaps/>
          <w:sz w:val="20"/>
          <w:szCs w:val="20"/>
        </w:rPr>
        <w:t>225, 225</w:t>
      </w:r>
      <w:r>
        <w:rPr>
          <w:sz w:val="20"/>
        </w:rPr>
        <w:t xml:space="preserve"> (2000).</w:t>
      </w:r>
      <w:proofErr w:type="gramEnd"/>
      <w:r>
        <w:rPr>
          <w:sz w:val="20"/>
        </w:rPr>
        <w:t xml:space="preserve"> </w:t>
      </w:r>
    </w:p>
  </w:footnote>
  <w:footnote w:id="34">
    <w:p w14:paraId="05CB0564" w14:textId="054AAD50" w:rsidR="0084636B" w:rsidRPr="00357256" w:rsidRDefault="0084636B" w:rsidP="00C17EFF">
      <w:pPr>
        <w:pStyle w:val="FootnoteText"/>
        <w:spacing w:before="60"/>
        <w:jc w:val="both"/>
        <w:rPr>
          <w:i/>
          <w:sz w:val="20"/>
          <w:szCs w:val="20"/>
        </w:rPr>
      </w:pPr>
      <w:r>
        <w:rPr>
          <w:rStyle w:val="FootnoteReference"/>
        </w:rPr>
        <w:footnoteRef/>
      </w:r>
      <w:r>
        <w:t xml:space="preserve"> </w:t>
      </w:r>
      <w:r w:rsidRPr="00B03739">
        <w:rPr>
          <w:smallCaps/>
          <w:sz w:val="20"/>
          <w:szCs w:val="20"/>
        </w:rPr>
        <w:t>United States Environmental Protection Agency, Case Studies on the Impact of Concentrated Animal Feeding Operations (CAFOs) on Ground Water Quality</w:t>
      </w:r>
      <w:r>
        <w:rPr>
          <w:sz w:val="20"/>
          <w:szCs w:val="20"/>
        </w:rPr>
        <w:t xml:space="preserve"> 7-8 (2012) </w:t>
      </w:r>
      <w:r w:rsidRPr="00222CF0">
        <w:rPr>
          <w:sz w:val="20"/>
          <w:szCs w:val="20"/>
        </w:rPr>
        <w:t xml:space="preserve">(citing </w:t>
      </w:r>
      <w:r>
        <w:rPr>
          <w:sz w:val="20"/>
          <w:szCs w:val="20"/>
        </w:rPr>
        <w:t xml:space="preserve">I. G. </w:t>
      </w:r>
      <w:proofErr w:type="spellStart"/>
      <w:r>
        <w:rPr>
          <w:sz w:val="20"/>
          <w:szCs w:val="20"/>
        </w:rPr>
        <w:t>Krapac</w:t>
      </w:r>
      <w:proofErr w:type="spellEnd"/>
      <w:r>
        <w:rPr>
          <w:sz w:val="20"/>
          <w:szCs w:val="20"/>
        </w:rPr>
        <w:t xml:space="preserve"> et al, </w:t>
      </w:r>
      <w:r>
        <w:rPr>
          <w:i/>
          <w:sz w:val="20"/>
          <w:szCs w:val="20"/>
        </w:rPr>
        <w:t xml:space="preserve">Impacts of Swine Manure Pits on </w:t>
      </w:r>
      <w:r w:rsidRPr="00222CF0">
        <w:rPr>
          <w:i/>
          <w:sz w:val="20"/>
          <w:szCs w:val="20"/>
        </w:rPr>
        <w:t>Groundwater Quality</w:t>
      </w:r>
      <w:r>
        <w:rPr>
          <w:sz w:val="20"/>
          <w:szCs w:val="20"/>
        </w:rPr>
        <w:t xml:space="preserve">, </w:t>
      </w:r>
      <w:r w:rsidRPr="0095697B">
        <w:rPr>
          <w:smallCaps/>
          <w:sz w:val="20"/>
          <w:szCs w:val="20"/>
        </w:rPr>
        <w:t>12</w:t>
      </w:r>
      <w:r>
        <w:rPr>
          <w:smallCaps/>
          <w:sz w:val="20"/>
          <w:szCs w:val="20"/>
        </w:rPr>
        <w:t xml:space="preserve">0 </w:t>
      </w:r>
      <w:proofErr w:type="spellStart"/>
      <w:r>
        <w:rPr>
          <w:smallCaps/>
          <w:sz w:val="20"/>
          <w:szCs w:val="20"/>
        </w:rPr>
        <w:t>Envtl</w:t>
      </w:r>
      <w:proofErr w:type="spellEnd"/>
      <w:r>
        <w:rPr>
          <w:smallCaps/>
          <w:sz w:val="20"/>
          <w:szCs w:val="20"/>
        </w:rPr>
        <w:t>.</w:t>
      </w:r>
      <w:r w:rsidRPr="0095697B">
        <w:rPr>
          <w:smallCaps/>
          <w:sz w:val="20"/>
          <w:szCs w:val="20"/>
        </w:rPr>
        <w:t xml:space="preserve"> Pollution 475</w:t>
      </w:r>
      <w:r>
        <w:rPr>
          <w:sz w:val="20"/>
          <w:szCs w:val="20"/>
        </w:rPr>
        <w:t xml:space="preserve"> (2002)</w:t>
      </w:r>
      <w:proofErr w:type="gramStart"/>
      <w:r>
        <w:rPr>
          <w:sz w:val="20"/>
          <w:szCs w:val="20"/>
        </w:rPr>
        <w:t>;</w:t>
      </w:r>
      <w:proofErr w:type="gramEnd"/>
      <w:r>
        <w:rPr>
          <w:sz w:val="20"/>
          <w:szCs w:val="20"/>
        </w:rPr>
        <w:t xml:space="preserve"> </w:t>
      </w:r>
      <w:r w:rsidRPr="00222CF0">
        <w:rPr>
          <w:sz w:val="20"/>
          <w:szCs w:val="20"/>
        </w:rPr>
        <w:t xml:space="preserve">J. M. Ham &amp; T. M. </w:t>
      </w:r>
      <w:proofErr w:type="spellStart"/>
      <w:r w:rsidRPr="00222CF0">
        <w:rPr>
          <w:sz w:val="20"/>
          <w:szCs w:val="20"/>
        </w:rPr>
        <w:t>DeSutter</w:t>
      </w:r>
      <w:proofErr w:type="spellEnd"/>
      <w:r w:rsidRPr="00222CF0">
        <w:rPr>
          <w:sz w:val="20"/>
          <w:szCs w:val="20"/>
        </w:rPr>
        <w:t xml:space="preserve">, </w:t>
      </w:r>
      <w:r w:rsidRPr="00222CF0">
        <w:rPr>
          <w:i/>
          <w:sz w:val="20"/>
          <w:szCs w:val="20"/>
        </w:rPr>
        <w:t>Toward Site-Specific Design Standards for Animal-Waste Lagoons: Protecting Ground Water Quality</w:t>
      </w:r>
      <w:r w:rsidRPr="00222CF0">
        <w:rPr>
          <w:sz w:val="20"/>
          <w:szCs w:val="20"/>
        </w:rPr>
        <w:t xml:space="preserve">, 29 </w:t>
      </w:r>
      <w:r>
        <w:rPr>
          <w:smallCaps/>
          <w:sz w:val="20"/>
          <w:szCs w:val="20"/>
        </w:rPr>
        <w:t xml:space="preserve">J. of </w:t>
      </w:r>
      <w:proofErr w:type="spellStart"/>
      <w:r>
        <w:rPr>
          <w:smallCaps/>
          <w:sz w:val="20"/>
          <w:szCs w:val="20"/>
        </w:rPr>
        <w:t>Envtl</w:t>
      </w:r>
      <w:proofErr w:type="spellEnd"/>
      <w:r>
        <w:rPr>
          <w:smallCaps/>
          <w:sz w:val="20"/>
          <w:szCs w:val="20"/>
        </w:rPr>
        <w:t>.</w:t>
      </w:r>
      <w:r w:rsidRPr="0095697B">
        <w:rPr>
          <w:smallCaps/>
          <w:sz w:val="20"/>
          <w:szCs w:val="20"/>
        </w:rPr>
        <w:t xml:space="preserve"> Quality 1721</w:t>
      </w:r>
      <w:r w:rsidRPr="00222CF0">
        <w:rPr>
          <w:sz w:val="20"/>
          <w:szCs w:val="20"/>
        </w:rPr>
        <w:t xml:space="preserve"> (2000)</w:t>
      </w:r>
      <w:proofErr w:type="gramStart"/>
      <w:r w:rsidRPr="00222CF0">
        <w:rPr>
          <w:sz w:val="20"/>
          <w:szCs w:val="20"/>
        </w:rPr>
        <w:t>;</w:t>
      </w:r>
      <w:proofErr w:type="gramEnd"/>
      <w:r w:rsidRPr="00222CF0">
        <w:rPr>
          <w:sz w:val="20"/>
          <w:szCs w:val="20"/>
        </w:rPr>
        <w:t xml:space="preserve"> J. M. Ham &amp; T. M. </w:t>
      </w:r>
      <w:proofErr w:type="spellStart"/>
      <w:r w:rsidRPr="00222CF0">
        <w:rPr>
          <w:sz w:val="20"/>
          <w:szCs w:val="20"/>
        </w:rPr>
        <w:t>DeSutter</w:t>
      </w:r>
      <w:proofErr w:type="spellEnd"/>
      <w:r w:rsidRPr="00222CF0">
        <w:rPr>
          <w:sz w:val="20"/>
          <w:szCs w:val="20"/>
        </w:rPr>
        <w:t xml:space="preserve">, </w:t>
      </w:r>
      <w:r w:rsidRPr="00222CF0">
        <w:rPr>
          <w:i/>
          <w:sz w:val="20"/>
          <w:szCs w:val="20"/>
        </w:rPr>
        <w:t>Seepage Losses and Nitrogen</w:t>
      </w:r>
      <w:r>
        <w:rPr>
          <w:i/>
          <w:sz w:val="20"/>
          <w:szCs w:val="20"/>
        </w:rPr>
        <w:t xml:space="preserve"> Export from Swine-Waste Lagoon</w:t>
      </w:r>
      <w:r w:rsidRPr="00222CF0">
        <w:rPr>
          <w:i/>
          <w:sz w:val="20"/>
          <w:szCs w:val="20"/>
        </w:rPr>
        <w:t>s: A Water Balance Study</w:t>
      </w:r>
      <w:r w:rsidRPr="00222CF0">
        <w:rPr>
          <w:sz w:val="20"/>
          <w:szCs w:val="20"/>
        </w:rPr>
        <w:t xml:space="preserve">, 28 </w:t>
      </w:r>
      <w:r w:rsidRPr="0095697B">
        <w:rPr>
          <w:smallCaps/>
          <w:sz w:val="20"/>
          <w:szCs w:val="20"/>
        </w:rPr>
        <w:t xml:space="preserve">J. of </w:t>
      </w:r>
      <w:proofErr w:type="spellStart"/>
      <w:r w:rsidRPr="0095697B">
        <w:rPr>
          <w:smallCaps/>
          <w:sz w:val="20"/>
          <w:szCs w:val="20"/>
        </w:rPr>
        <w:t>En</w:t>
      </w:r>
      <w:r>
        <w:rPr>
          <w:smallCaps/>
          <w:sz w:val="20"/>
          <w:szCs w:val="20"/>
        </w:rPr>
        <w:t>vtl</w:t>
      </w:r>
      <w:proofErr w:type="spellEnd"/>
      <w:r>
        <w:rPr>
          <w:smallCaps/>
          <w:sz w:val="20"/>
          <w:szCs w:val="20"/>
        </w:rPr>
        <w:t>.</w:t>
      </w:r>
      <w:r w:rsidRPr="0095697B">
        <w:rPr>
          <w:smallCaps/>
          <w:sz w:val="20"/>
          <w:szCs w:val="20"/>
        </w:rPr>
        <w:t xml:space="preserve"> </w:t>
      </w:r>
      <w:proofErr w:type="gramStart"/>
      <w:r w:rsidRPr="0095697B">
        <w:rPr>
          <w:smallCaps/>
          <w:sz w:val="20"/>
          <w:szCs w:val="20"/>
        </w:rPr>
        <w:t>Quality</w:t>
      </w:r>
      <w:r>
        <w:rPr>
          <w:sz w:val="20"/>
          <w:szCs w:val="20"/>
        </w:rPr>
        <w:t xml:space="preserve"> 1090 (1999).</w:t>
      </w:r>
      <w:proofErr w:type="gramEnd"/>
    </w:p>
  </w:footnote>
  <w:footnote w:id="35">
    <w:p w14:paraId="589A8317" w14:textId="0261A595" w:rsidR="0084636B" w:rsidRPr="00F96707" w:rsidRDefault="0084636B" w:rsidP="00C17EFF">
      <w:pPr>
        <w:pStyle w:val="FootnoteText"/>
        <w:spacing w:before="60"/>
        <w:jc w:val="both"/>
        <w:rPr>
          <w:sz w:val="20"/>
        </w:rPr>
      </w:pPr>
      <w:r>
        <w:rPr>
          <w:rStyle w:val="FootnoteReference"/>
        </w:rPr>
        <w:footnoteRef/>
      </w:r>
      <w:r>
        <w:t xml:space="preserve"> </w:t>
      </w:r>
      <w:r w:rsidRPr="004D1416">
        <w:rPr>
          <w:smallCaps/>
          <w:sz w:val="20"/>
        </w:rPr>
        <w:t xml:space="preserve">Carrie </w:t>
      </w:r>
      <w:proofErr w:type="spellStart"/>
      <w:r w:rsidRPr="004D1416">
        <w:rPr>
          <w:smallCaps/>
          <w:sz w:val="20"/>
        </w:rPr>
        <w:t>Hribar</w:t>
      </w:r>
      <w:proofErr w:type="spellEnd"/>
      <w:r w:rsidRPr="004D1416">
        <w:rPr>
          <w:smallCaps/>
          <w:sz w:val="20"/>
        </w:rPr>
        <w:t>, National Association of Local Boards of Health, Understanding Concentrated Animal Feeding Operations and Their Impact on Communities</w:t>
      </w:r>
      <w:r>
        <w:rPr>
          <w:smallCaps/>
          <w:sz w:val="20"/>
        </w:rPr>
        <w:t xml:space="preserve"> 8</w:t>
      </w:r>
      <w:r>
        <w:rPr>
          <w:sz w:val="20"/>
        </w:rPr>
        <w:t xml:space="preserve"> (2010),</w:t>
      </w:r>
      <w:r w:rsidRPr="004D1416">
        <w:rPr>
          <w:sz w:val="20"/>
        </w:rPr>
        <w:t xml:space="preserve"> https://www.cdc.gov/nceh/ehs/docs/</w:t>
      </w:r>
      <w:r>
        <w:rPr>
          <w:sz w:val="20"/>
        </w:rPr>
        <w:br/>
      </w:r>
      <w:r w:rsidRPr="004D1416">
        <w:rPr>
          <w:sz w:val="20"/>
        </w:rPr>
        <w:t>understanding_cafos_nalboh.pdf.</w:t>
      </w:r>
      <w:r>
        <w:rPr>
          <w:sz w:val="20"/>
        </w:rPr>
        <w:t xml:space="preserve">8-9. Possible diseases include anthrax, leptospirosis, </w:t>
      </w:r>
      <w:proofErr w:type="spellStart"/>
      <w:r>
        <w:rPr>
          <w:sz w:val="20"/>
        </w:rPr>
        <w:t>listerosis</w:t>
      </w:r>
      <w:proofErr w:type="spellEnd"/>
      <w:r>
        <w:rPr>
          <w:sz w:val="20"/>
        </w:rPr>
        <w:t xml:space="preserve">, salmonellosis, tetanus, </w:t>
      </w:r>
      <w:proofErr w:type="spellStart"/>
      <w:r>
        <w:rPr>
          <w:sz w:val="20"/>
        </w:rPr>
        <w:t>histoplasmosis</w:t>
      </w:r>
      <w:proofErr w:type="spellEnd"/>
      <w:r>
        <w:rPr>
          <w:sz w:val="20"/>
        </w:rPr>
        <w:t xml:space="preserve">, ringworm, giardiasis, and cryptosporidiosis. </w:t>
      </w:r>
      <w:proofErr w:type="gramStart"/>
      <w:r>
        <w:rPr>
          <w:i/>
          <w:sz w:val="20"/>
        </w:rPr>
        <w:t xml:space="preserve">Id. </w:t>
      </w:r>
      <w:r>
        <w:rPr>
          <w:sz w:val="20"/>
        </w:rPr>
        <w:t>at 9.</w:t>
      </w:r>
      <w:proofErr w:type="gramEnd"/>
    </w:p>
  </w:footnote>
  <w:footnote w:id="36">
    <w:p w14:paraId="3AA3DC90" w14:textId="5A577113" w:rsidR="0084636B" w:rsidRPr="00975E7F" w:rsidRDefault="0084636B" w:rsidP="0091193E">
      <w:pPr>
        <w:pStyle w:val="FootnoteText"/>
        <w:spacing w:before="60"/>
        <w:jc w:val="both"/>
        <w:rPr>
          <w:sz w:val="20"/>
        </w:rPr>
      </w:pPr>
      <w:r>
        <w:rPr>
          <w:rStyle w:val="FootnoteReference"/>
        </w:rPr>
        <w:footnoteRef/>
      </w:r>
      <w:r>
        <w:t xml:space="preserve"> </w:t>
      </w:r>
      <w:r>
        <w:rPr>
          <w:sz w:val="20"/>
        </w:rPr>
        <w:t xml:space="preserve">United States Environmental Protection Agency, </w:t>
      </w:r>
      <w:r>
        <w:rPr>
          <w:i/>
          <w:sz w:val="20"/>
        </w:rPr>
        <w:t xml:space="preserve">supra </w:t>
      </w:r>
      <w:r>
        <w:rPr>
          <w:sz w:val="20"/>
        </w:rPr>
        <w:t>note 34, at 9.</w:t>
      </w:r>
    </w:p>
  </w:footnote>
  <w:footnote w:id="37">
    <w:p w14:paraId="3B516252" w14:textId="3C6D5885" w:rsidR="0084636B" w:rsidRPr="00A06F20" w:rsidRDefault="0084636B" w:rsidP="0091193E">
      <w:pPr>
        <w:pStyle w:val="FootnoteText"/>
        <w:spacing w:before="60"/>
        <w:jc w:val="both"/>
      </w:pPr>
      <w:r w:rsidRPr="00A06F20">
        <w:rPr>
          <w:rStyle w:val="FootnoteReference"/>
        </w:rPr>
        <w:footnoteRef/>
      </w:r>
      <w:r w:rsidRPr="00A06F20">
        <w:t xml:space="preserve"> </w:t>
      </w:r>
      <w:proofErr w:type="gramStart"/>
      <w:r w:rsidRPr="00A06F20">
        <w:rPr>
          <w:i/>
          <w:sz w:val="20"/>
        </w:rPr>
        <w:t xml:space="preserve">Id. </w:t>
      </w:r>
      <w:r w:rsidRPr="00A06F20">
        <w:rPr>
          <w:sz w:val="20"/>
        </w:rPr>
        <w:t>at 9-13.</w:t>
      </w:r>
      <w:proofErr w:type="gramEnd"/>
      <w:r>
        <w:rPr>
          <w:sz w:val="20"/>
        </w:rPr>
        <w:t xml:space="preserve"> “I</w:t>
      </w:r>
      <w:r w:rsidRPr="00865636">
        <w:rPr>
          <w:sz w:val="20"/>
        </w:rPr>
        <w:t xml:space="preserve">t </w:t>
      </w:r>
      <w:r>
        <w:rPr>
          <w:sz w:val="20"/>
        </w:rPr>
        <w:t>is</w:t>
      </w:r>
      <w:r w:rsidRPr="00865636">
        <w:rPr>
          <w:sz w:val="20"/>
        </w:rPr>
        <w:t xml:space="preserve"> estimated that estrogen loads from land application by livestock manure would account for greater than 90</w:t>
      </w:r>
      <w:r>
        <w:rPr>
          <w:sz w:val="20"/>
        </w:rPr>
        <w:t xml:space="preserve">% of the total estrogen in the </w:t>
      </w:r>
      <w:proofErr w:type="gramStart"/>
      <w:r>
        <w:rPr>
          <w:sz w:val="20"/>
        </w:rPr>
        <w:t>environment.</w:t>
      </w:r>
      <w:proofErr w:type="gramEnd"/>
      <w:r>
        <w:rPr>
          <w:sz w:val="20"/>
        </w:rPr>
        <w:t xml:space="preserve"> . . .”) </w:t>
      </w:r>
      <w:proofErr w:type="gramStart"/>
      <w:r>
        <w:rPr>
          <w:i/>
          <w:sz w:val="20"/>
        </w:rPr>
        <w:t xml:space="preserve">Id. </w:t>
      </w:r>
      <w:r>
        <w:rPr>
          <w:sz w:val="20"/>
        </w:rPr>
        <w:t>at 12.</w:t>
      </w:r>
      <w:proofErr w:type="gramEnd"/>
    </w:p>
  </w:footnote>
  <w:footnote w:id="38">
    <w:p w14:paraId="30AEC230" w14:textId="526DBEE3" w:rsidR="0084636B" w:rsidRPr="001C1D13" w:rsidRDefault="0084636B" w:rsidP="0091193E">
      <w:pPr>
        <w:pStyle w:val="FootnoteText"/>
        <w:spacing w:before="60"/>
      </w:pPr>
      <w:r>
        <w:rPr>
          <w:rStyle w:val="FootnoteReference"/>
        </w:rPr>
        <w:footnoteRef/>
      </w:r>
      <w:r>
        <w:t xml:space="preserve"> </w:t>
      </w:r>
      <w:r>
        <w:rPr>
          <w:sz w:val="20"/>
        </w:rPr>
        <w:t xml:space="preserve">Marks, </w:t>
      </w:r>
      <w:r>
        <w:rPr>
          <w:i/>
          <w:sz w:val="20"/>
        </w:rPr>
        <w:t xml:space="preserve">supra </w:t>
      </w:r>
      <w:r>
        <w:rPr>
          <w:sz w:val="20"/>
        </w:rPr>
        <w:t xml:space="preserve">note 28, at 36. </w:t>
      </w:r>
      <w:proofErr w:type="gramStart"/>
      <w:r w:rsidRPr="002D408F">
        <w:rPr>
          <w:i/>
          <w:sz w:val="20"/>
        </w:rPr>
        <w:t>See</w:t>
      </w:r>
      <w:r>
        <w:rPr>
          <w:i/>
          <w:sz w:val="20"/>
        </w:rPr>
        <w:t xml:space="preserve"> </w:t>
      </w:r>
      <w:proofErr w:type="spellStart"/>
      <w:r>
        <w:rPr>
          <w:sz w:val="20"/>
        </w:rPr>
        <w:t>Skolnicks</w:t>
      </w:r>
      <w:proofErr w:type="spellEnd"/>
      <w:proofErr w:type="gramEnd"/>
      <w:r>
        <w:rPr>
          <w:sz w:val="20"/>
        </w:rPr>
        <w:t>,</w:t>
      </w:r>
      <w:r w:rsidRPr="002D408F">
        <w:rPr>
          <w:i/>
          <w:sz w:val="20"/>
        </w:rPr>
        <w:t xml:space="preserve"> </w:t>
      </w:r>
      <w:proofErr w:type="gramStart"/>
      <w:r w:rsidRPr="002D408F">
        <w:rPr>
          <w:i/>
          <w:sz w:val="20"/>
        </w:rPr>
        <w:t>infra</w:t>
      </w:r>
      <w:r>
        <w:rPr>
          <w:sz w:val="20"/>
        </w:rPr>
        <w:t xml:space="preserve"> note 155</w:t>
      </w:r>
      <w:proofErr w:type="gramEnd"/>
      <w:r w:rsidRPr="002D408F">
        <w:rPr>
          <w:sz w:val="20"/>
        </w:rPr>
        <w:t>.</w:t>
      </w:r>
    </w:p>
  </w:footnote>
  <w:footnote w:id="39">
    <w:p w14:paraId="4E99FC5C" w14:textId="1144A05B" w:rsidR="0084636B" w:rsidRPr="00117B2D" w:rsidRDefault="0084636B" w:rsidP="0091193E">
      <w:pPr>
        <w:pStyle w:val="FootnoteText"/>
        <w:spacing w:before="60"/>
      </w:pPr>
      <w:r>
        <w:rPr>
          <w:rStyle w:val="FootnoteReference"/>
        </w:rPr>
        <w:footnoteRef/>
      </w:r>
      <w:r>
        <w:t xml:space="preserve"> </w:t>
      </w:r>
      <w:proofErr w:type="gramStart"/>
      <w:r w:rsidRPr="00117B2D">
        <w:rPr>
          <w:i/>
          <w:sz w:val="20"/>
        </w:rPr>
        <w:t xml:space="preserve">Id. </w:t>
      </w:r>
      <w:r>
        <w:rPr>
          <w:sz w:val="20"/>
        </w:rPr>
        <w:t>at 23.</w:t>
      </w:r>
      <w:proofErr w:type="gramEnd"/>
    </w:p>
  </w:footnote>
  <w:footnote w:id="40">
    <w:p w14:paraId="55257863" w14:textId="244856C0" w:rsidR="0084636B" w:rsidRPr="00E222CF" w:rsidRDefault="0084636B" w:rsidP="0091193E">
      <w:pPr>
        <w:pStyle w:val="FootnoteText"/>
        <w:spacing w:before="60"/>
        <w:jc w:val="both"/>
        <w:rPr>
          <w:i/>
        </w:rPr>
      </w:pPr>
      <w:r>
        <w:rPr>
          <w:rStyle w:val="FootnoteReference"/>
        </w:rPr>
        <w:footnoteRef/>
      </w:r>
      <w:r>
        <w:t xml:space="preserve"> </w:t>
      </w:r>
      <w:r>
        <w:rPr>
          <w:i/>
          <w:sz w:val="20"/>
        </w:rPr>
        <w:t>Exposing Fields of Filth</w:t>
      </w:r>
      <w:r>
        <w:rPr>
          <w:sz w:val="20"/>
        </w:rPr>
        <w:t xml:space="preserve">, </w:t>
      </w:r>
      <w:proofErr w:type="spellStart"/>
      <w:r w:rsidRPr="004C30C4">
        <w:rPr>
          <w:smallCaps/>
          <w:sz w:val="20"/>
          <w:szCs w:val="20"/>
        </w:rPr>
        <w:t>Waterkeeper</w:t>
      </w:r>
      <w:proofErr w:type="spellEnd"/>
      <w:r w:rsidRPr="004C30C4">
        <w:rPr>
          <w:smallCaps/>
          <w:sz w:val="20"/>
          <w:szCs w:val="20"/>
        </w:rPr>
        <w:t xml:space="preserve"> Alliance</w:t>
      </w:r>
      <w:r>
        <w:rPr>
          <w:sz w:val="20"/>
        </w:rPr>
        <w:t xml:space="preserve"> (Nov. 4, 2016), </w:t>
      </w:r>
      <w:r w:rsidRPr="00E222CF">
        <w:rPr>
          <w:sz w:val="20"/>
        </w:rPr>
        <w:t>http://waterkeeper.org/exposingfieldsoffilth/</w:t>
      </w:r>
      <w:r>
        <w:rPr>
          <w:sz w:val="20"/>
        </w:rPr>
        <w:t xml:space="preserve"> </w:t>
      </w:r>
      <w:proofErr w:type="gramStart"/>
      <w:r>
        <w:rPr>
          <w:sz w:val="20"/>
        </w:rPr>
        <w:t>There</w:t>
      </w:r>
      <w:proofErr w:type="gramEnd"/>
      <w:r>
        <w:rPr>
          <w:sz w:val="20"/>
        </w:rPr>
        <w:t xml:space="preserve"> are 166 lagoons within the 100-year flood plane along North Carolina’s Coastal Plain. </w:t>
      </w:r>
      <w:r>
        <w:rPr>
          <w:i/>
          <w:sz w:val="20"/>
        </w:rPr>
        <w:t xml:space="preserve">Id. </w:t>
      </w:r>
    </w:p>
  </w:footnote>
  <w:footnote w:id="41">
    <w:p w14:paraId="5305C62B" w14:textId="33654FB4" w:rsidR="0084636B" w:rsidRPr="005A251D" w:rsidRDefault="0084636B" w:rsidP="0091193E">
      <w:pPr>
        <w:pStyle w:val="FootnoteText"/>
        <w:spacing w:before="60"/>
        <w:jc w:val="both"/>
        <w:rPr>
          <w:i/>
          <w:sz w:val="20"/>
        </w:rPr>
      </w:pPr>
      <w:r>
        <w:rPr>
          <w:rStyle w:val="FootnoteReference"/>
        </w:rPr>
        <w:footnoteRef/>
      </w:r>
      <w:r>
        <w:t xml:space="preserve"> </w:t>
      </w:r>
      <w:r>
        <w:rPr>
          <w:i/>
          <w:sz w:val="20"/>
        </w:rPr>
        <w:t xml:space="preserve">Id.  </w:t>
      </w:r>
    </w:p>
  </w:footnote>
  <w:footnote w:id="42">
    <w:p w14:paraId="703F7B74" w14:textId="53AD9ECF" w:rsidR="0084636B" w:rsidRPr="004C30C4" w:rsidRDefault="0084636B" w:rsidP="0091193E">
      <w:pPr>
        <w:pStyle w:val="FootnoteText"/>
        <w:spacing w:before="60"/>
        <w:rPr>
          <w:i/>
          <w:sz w:val="20"/>
        </w:rPr>
      </w:pPr>
      <w:r>
        <w:rPr>
          <w:rStyle w:val="FootnoteReference"/>
        </w:rPr>
        <w:footnoteRef/>
      </w:r>
      <w:r>
        <w:t xml:space="preserve"> </w:t>
      </w:r>
      <w:r>
        <w:rPr>
          <w:i/>
          <w:sz w:val="20"/>
        </w:rPr>
        <w:t>Id.</w:t>
      </w:r>
    </w:p>
  </w:footnote>
  <w:footnote w:id="43">
    <w:p w14:paraId="4A198FB1" w14:textId="3A1D245E" w:rsidR="0084636B" w:rsidRPr="00B03739" w:rsidRDefault="0084636B" w:rsidP="0091193E">
      <w:pPr>
        <w:pStyle w:val="FootnoteText"/>
        <w:spacing w:before="60"/>
        <w:rPr>
          <w:sz w:val="20"/>
        </w:rPr>
      </w:pPr>
      <w:r>
        <w:rPr>
          <w:rStyle w:val="FootnoteReference"/>
        </w:rPr>
        <w:footnoteRef/>
      </w:r>
      <w:r>
        <w:t xml:space="preserve"> </w:t>
      </w:r>
      <w:r>
        <w:rPr>
          <w:i/>
          <w:sz w:val="20"/>
        </w:rPr>
        <w:t>Id.</w:t>
      </w:r>
    </w:p>
  </w:footnote>
  <w:footnote w:id="44">
    <w:p w14:paraId="0C1027E7" w14:textId="124657B7" w:rsidR="0084636B" w:rsidRDefault="0084636B">
      <w:pPr>
        <w:pStyle w:val="FootnoteText"/>
      </w:pPr>
      <w:r>
        <w:rPr>
          <w:rStyle w:val="FootnoteReference"/>
        </w:rPr>
        <w:footnoteRef/>
      </w:r>
      <w:r>
        <w:t xml:space="preserve"> </w:t>
      </w:r>
      <w:proofErr w:type="spellStart"/>
      <w:r>
        <w:rPr>
          <w:sz w:val="20"/>
        </w:rPr>
        <w:t>Hribar</w:t>
      </w:r>
      <w:proofErr w:type="spellEnd"/>
      <w:r>
        <w:rPr>
          <w:sz w:val="20"/>
        </w:rPr>
        <w:t xml:space="preserve">, </w:t>
      </w:r>
      <w:r>
        <w:rPr>
          <w:i/>
          <w:sz w:val="20"/>
        </w:rPr>
        <w:t xml:space="preserve">supra </w:t>
      </w:r>
      <w:r>
        <w:rPr>
          <w:sz w:val="20"/>
        </w:rPr>
        <w:t>note 35, at 4.</w:t>
      </w:r>
    </w:p>
  </w:footnote>
  <w:footnote w:id="45">
    <w:p w14:paraId="2EB0CF51" w14:textId="513B59F1" w:rsidR="0084636B" w:rsidRPr="00325997" w:rsidRDefault="0084636B" w:rsidP="00325997">
      <w:pPr>
        <w:pStyle w:val="FootnoteText"/>
        <w:spacing w:before="60"/>
        <w:jc w:val="both"/>
        <w:rPr>
          <w:i/>
          <w:sz w:val="20"/>
        </w:rPr>
      </w:pPr>
      <w:r>
        <w:rPr>
          <w:rStyle w:val="FootnoteReference"/>
        </w:rPr>
        <w:footnoteRef/>
      </w:r>
      <w:r>
        <w:t xml:space="preserve"> </w:t>
      </w:r>
      <w:r>
        <w:rPr>
          <w:i/>
          <w:sz w:val="20"/>
        </w:rPr>
        <w:t>Id.</w:t>
      </w:r>
    </w:p>
  </w:footnote>
  <w:footnote w:id="46">
    <w:p w14:paraId="4BF12F4F" w14:textId="548E6DFF" w:rsidR="0084636B" w:rsidRPr="00EF040D" w:rsidRDefault="0084636B" w:rsidP="004C30C4">
      <w:pPr>
        <w:pStyle w:val="FootnoteText"/>
        <w:spacing w:before="60"/>
        <w:jc w:val="both"/>
        <w:rPr>
          <w:i/>
        </w:rPr>
      </w:pPr>
      <w:r>
        <w:rPr>
          <w:rStyle w:val="FootnoteReference"/>
        </w:rPr>
        <w:footnoteRef/>
      </w:r>
      <w:r>
        <w:t xml:space="preserve"> </w:t>
      </w:r>
      <w:r w:rsidRPr="007E2043">
        <w:rPr>
          <w:sz w:val="20"/>
        </w:rPr>
        <w:t xml:space="preserve">Marks, </w:t>
      </w:r>
      <w:r w:rsidRPr="007E2043">
        <w:rPr>
          <w:i/>
          <w:sz w:val="20"/>
        </w:rPr>
        <w:t xml:space="preserve">supra </w:t>
      </w:r>
      <w:r>
        <w:rPr>
          <w:sz w:val="20"/>
        </w:rPr>
        <w:t>note 28</w:t>
      </w:r>
      <w:r w:rsidRPr="007E2043">
        <w:rPr>
          <w:sz w:val="20"/>
        </w:rPr>
        <w:t xml:space="preserve">, at </w:t>
      </w:r>
      <w:r>
        <w:rPr>
          <w:sz w:val="20"/>
        </w:rPr>
        <w:t>1</w:t>
      </w:r>
      <w:r w:rsidRPr="007E2043">
        <w:rPr>
          <w:sz w:val="20"/>
        </w:rPr>
        <w:t>.</w:t>
      </w:r>
      <w:r>
        <w:rPr>
          <w:sz w:val="20"/>
        </w:rPr>
        <w:t xml:space="preserve"> </w:t>
      </w:r>
    </w:p>
  </w:footnote>
  <w:footnote w:id="47">
    <w:p w14:paraId="31B14E4E" w14:textId="71215EEB" w:rsidR="0084636B" w:rsidRPr="00222CF0" w:rsidRDefault="0084636B" w:rsidP="00B03739">
      <w:pPr>
        <w:pStyle w:val="FootnoteText"/>
        <w:spacing w:before="60"/>
        <w:jc w:val="both"/>
        <w:rPr>
          <w:i/>
          <w:sz w:val="20"/>
          <w:szCs w:val="20"/>
        </w:rPr>
      </w:pPr>
      <w:r>
        <w:rPr>
          <w:rStyle w:val="FootnoteReference"/>
        </w:rPr>
        <w:footnoteRef/>
      </w:r>
      <w:r>
        <w:t xml:space="preserve"> </w:t>
      </w:r>
      <w:r>
        <w:rPr>
          <w:sz w:val="20"/>
        </w:rPr>
        <w:t xml:space="preserve">United States Environmental Protection Agency, </w:t>
      </w:r>
      <w:r>
        <w:rPr>
          <w:i/>
          <w:sz w:val="20"/>
        </w:rPr>
        <w:t xml:space="preserve">supra </w:t>
      </w:r>
      <w:r>
        <w:rPr>
          <w:sz w:val="20"/>
        </w:rPr>
        <w:t>note 34, at 3.</w:t>
      </w:r>
    </w:p>
  </w:footnote>
  <w:footnote w:id="48">
    <w:p w14:paraId="4AD1FCB7" w14:textId="44D84B92" w:rsidR="0084636B" w:rsidRPr="00B14E26" w:rsidRDefault="0084636B" w:rsidP="004D1416">
      <w:pPr>
        <w:pStyle w:val="FootnoteText"/>
        <w:spacing w:before="60"/>
        <w:jc w:val="both"/>
      </w:pPr>
      <w:r>
        <w:rPr>
          <w:rStyle w:val="FootnoteReference"/>
        </w:rPr>
        <w:footnoteRef/>
      </w:r>
      <w:r>
        <w:t xml:space="preserve"> </w:t>
      </w:r>
      <w:r w:rsidRPr="00B14E26">
        <w:rPr>
          <w:i/>
          <w:sz w:val="20"/>
        </w:rPr>
        <w:t>Id.</w:t>
      </w:r>
    </w:p>
  </w:footnote>
  <w:footnote w:id="49">
    <w:p w14:paraId="27E10344" w14:textId="1C41ACC9" w:rsidR="0084636B" w:rsidRPr="00FB091F" w:rsidRDefault="0084636B" w:rsidP="00FB091F">
      <w:pPr>
        <w:pStyle w:val="FootnoteText"/>
        <w:spacing w:before="60"/>
        <w:jc w:val="both"/>
        <w:rPr>
          <w:sz w:val="20"/>
        </w:rPr>
      </w:pPr>
      <w:r>
        <w:rPr>
          <w:rStyle w:val="FootnoteReference"/>
        </w:rPr>
        <w:footnoteRef/>
      </w:r>
      <w:r>
        <w:t xml:space="preserve"> </w:t>
      </w:r>
      <w:proofErr w:type="spellStart"/>
      <w:r>
        <w:rPr>
          <w:sz w:val="20"/>
        </w:rPr>
        <w:t>Hribar</w:t>
      </w:r>
      <w:proofErr w:type="spellEnd"/>
      <w:r>
        <w:rPr>
          <w:sz w:val="20"/>
        </w:rPr>
        <w:t xml:space="preserve">, </w:t>
      </w:r>
      <w:r>
        <w:rPr>
          <w:i/>
          <w:sz w:val="20"/>
        </w:rPr>
        <w:t xml:space="preserve">supra </w:t>
      </w:r>
      <w:r>
        <w:rPr>
          <w:sz w:val="20"/>
        </w:rPr>
        <w:t>note 35, at 3 (“</w:t>
      </w:r>
      <w:r w:rsidRPr="00FB091F">
        <w:rPr>
          <w:sz w:val="20"/>
        </w:rPr>
        <w:t xml:space="preserve">Groundwater is a major source of drinking water in the United States. The EPA estimates that 53% of the population relies on groundwater for drinking water, often at much higher rates in rural </w:t>
      </w:r>
      <w:proofErr w:type="gramStart"/>
      <w:r w:rsidRPr="00FB091F">
        <w:rPr>
          <w:sz w:val="20"/>
        </w:rPr>
        <w:t>areas</w:t>
      </w:r>
      <w:r>
        <w:rPr>
          <w:sz w:val="20"/>
        </w:rPr>
        <w:t>.</w:t>
      </w:r>
      <w:proofErr w:type="gramEnd"/>
      <w:r>
        <w:rPr>
          <w:sz w:val="20"/>
        </w:rPr>
        <w:t xml:space="preserve"> . . .”).</w:t>
      </w:r>
      <w:r w:rsidRPr="00FB091F">
        <w:rPr>
          <w:sz w:val="20"/>
        </w:rPr>
        <w:t xml:space="preserve"> </w:t>
      </w:r>
    </w:p>
  </w:footnote>
  <w:footnote w:id="50">
    <w:p w14:paraId="570668B5" w14:textId="37AF4D16" w:rsidR="0084636B" w:rsidRDefault="0084636B" w:rsidP="00FB091F">
      <w:pPr>
        <w:pStyle w:val="FootnoteText"/>
        <w:spacing w:before="60"/>
        <w:jc w:val="both"/>
      </w:pPr>
      <w:r>
        <w:rPr>
          <w:rStyle w:val="FootnoteReference"/>
        </w:rPr>
        <w:footnoteRef/>
      </w:r>
      <w:r>
        <w:t xml:space="preserve"> </w:t>
      </w:r>
      <w:r w:rsidRPr="00FB091F">
        <w:rPr>
          <w:sz w:val="20"/>
        </w:rPr>
        <w:t xml:space="preserve">Wing, </w:t>
      </w:r>
      <w:r w:rsidRPr="00FB091F">
        <w:rPr>
          <w:i/>
          <w:sz w:val="20"/>
        </w:rPr>
        <w:t xml:space="preserve">supra </w:t>
      </w:r>
      <w:r>
        <w:rPr>
          <w:sz w:val="20"/>
        </w:rPr>
        <w:t>note 33</w:t>
      </w:r>
      <w:r w:rsidRPr="00FB091F">
        <w:rPr>
          <w:sz w:val="20"/>
        </w:rPr>
        <w:t>, at 225.</w:t>
      </w:r>
    </w:p>
  </w:footnote>
  <w:footnote w:id="51">
    <w:p w14:paraId="6E2B3467" w14:textId="6F99559C" w:rsidR="0084636B" w:rsidRPr="00FB091F" w:rsidRDefault="0084636B" w:rsidP="003809CF">
      <w:pPr>
        <w:pStyle w:val="FootnoteText"/>
        <w:spacing w:before="60"/>
        <w:jc w:val="both"/>
        <w:rPr>
          <w:i/>
        </w:rPr>
      </w:pPr>
      <w:r>
        <w:rPr>
          <w:rStyle w:val="FootnoteReference"/>
        </w:rPr>
        <w:footnoteRef/>
      </w:r>
      <w:r>
        <w:t xml:space="preserve"> </w:t>
      </w:r>
      <w:r>
        <w:rPr>
          <w:i/>
          <w:sz w:val="20"/>
        </w:rPr>
        <w:t>Id.</w:t>
      </w:r>
    </w:p>
  </w:footnote>
  <w:footnote w:id="52">
    <w:p w14:paraId="694DD1F4" w14:textId="02F61401" w:rsidR="0084636B" w:rsidRPr="00486DB0" w:rsidRDefault="0084636B" w:rsidP="003809CF">
      <w:pPr>
        <w:pStyle w:val="FootnoteText"/>
        <w:spacing w:before="60"/>
        <w:jc w:val="both"/>
        <w:rPr>
          <w:sz w:val="20"/>
        </w:rPr>
      </w:pPr>
      <w:r>
        <w:rPr>
          <w:rStyle w:val="FootnoteReference"/>
        </w:rPr>
        <w:footnoteRef/>
      </w:r>
      <w:r>
        <w:t xml:space="preserve"> </w:t>
      </w:r>
      <w:r w:rsidRPr="00486DB0">
        <w:rPr>
          <w:i/>
          <w:sz w:val="20"/>
        </w:rPr>
        <w:t>NCEJN and Allies Respond to Latest Attack by Hog Industry</w:t>
      </w:r>
      <w:r>
        <w:rPr>
          <w:sz w:val="20"/>
        </w:rPr>
        <w:t xml:space="preserve">, </w:t>
      </w:r>
      <w:r w:rsidRPr="00486DB0">
        <w:rPr>
          <w:smallCaps/>
          <w:sz w:val="20"/>
          <w:szCs w:val="20"/>
        </w:rPr>
        <w:t>North Carolina Environmental Justice Network</w:t>
      </w:r>
      <w:r>
        <w:rPr>
          <w:sz w:val="20"/>
        </w:rPr>
        <w:t xml:space="preserve"> (Jan. 6, 2017), </w:t>
      </w:r>
      <w:r w:rsidRPr="00486DB0">
        <w:rPr>
          <w:sz w:val="20"/>
        </w:rPr>
        <w:t>http://www.ncejn.org</w:t>
      </w:r>
      <w:r>
        <w:rPr>
          <w:sz w:val="20"/>
        </w:rPr>
        <w:t>.</w:t>
      </w:r>
    </w:p>
  </w:footnote>
  <w:footnote w:id="53">
    <w:p w14:paraId="6AF71D62" w14:textId="6C104E0B" w:rsidR="0084636B" w:rsidRDefault="0084636B" w:rsidP="003809CF">
      <w:pPr>
        <w:pStyle w:val="FootnoteText"/>
        <w:spacing w:before="60"/>
        <w:jc w:val="both"/>
      </w:pPr>
      <w:r>
        <w:rPr>
          <w:rStyle w:val="FootnoteReference"/>
        </w:rPr>
        <w:footnoteRef/>
      </w:r>
      <w:r>
        <w:t xml:space="preserve"> </w:t>
      </w:r>
      <w:proofErr w:type="spellStart"/>
      <w:r>
        <w:rPr>
          <w:sz w:val="20"/>
        </w:rPr>
        <w:t>Hribar</w:t>
      </w:r>
      <w:proofErr w:type="spellEnd"/>
      <w:r>
        <w:rPr>
          <w:sz w:val="20"/>
        </w:rPr>
        <w:t xml:space="preserve">, </w:t>
      </w:r>
      <w:r>
        <w:rPr>
          <w:i/>
          <w:sz w:val="20"/>
        </w:rPr>
        <w:t xml:space="preserve">supra </w:t>
      </w:r>
      <w:r>
        <w:rPr>
          <w:sz w:val="20"/>
        </w:rPr>
        <w:t>note 35, at 10.</w:t>
      </w:r>
    </w:p>
  </w:footnote>
  <w:footnote w:id="54">
    <w:p w14:paraId="2902093E" w14:textId="656934EB" w:rsidR="0084636B" w:rsidRPr="0087745C" w:rsidRDefault="0084636B" w:rsidP="003809CF">
      <w:pPr>
        <w:pStyle w:val="FootnoteText"/>
        <w:spacing w:before="60"/>
        <w:jc w:val="both"/>
      </w:pPr>
      <w:r>
        <w:rPr>
          <w:rStyle w:val="FootnoteReference"/>
        </w:rPr>
        <w:footnoteRef/>
      </w:r>
      <w:r>
        <w:t xml:space="preserve"> </w:t>
      </w:r>
      <w:r>
        <w:rPr>
          <w:i/>
          <w:sz w:val="20"/>
        </w:rPr>
        <w:t>Id.</w:t>
      </w:r>
      <w:r>
        <w:rPr>
          <w:sz w:val="20"/>
        </w:rPr>
        <w:t xml:space="preserve"> at 9, 3 (“</w:t>
      </w:r>
      <w:r w:rsidRPr="0087745C">
        <w:rPr>
          <w:sz w:val="20"/>
          <w:szCs w:val="20"/>
        </w:rPr>
        <w:t xml:space="preserve">Elevated nitrates in drinking water can be especially harmful to infants, leading to blue baby syndrome and possible death. Nitrates oxidize iron in hemoglobin in red blood cells to </w:t>
      </w:r>
      <w:proofErr w:type="spellStart"/>
      <w:r w:rsidRPr="0087745C">
        <w:rPr>
          <w:sz w:val="20"/>
          <w:szCs w:val="20"/>
        </w:rPr>
        <w:t>met</w:t>
      </w:r>
      <w:r>
        <w:rPr>
          <w:sz w:val="20"/>
          <w:szCs w:val="20"/>
        </w:rPr>
        <w:t>hemoglobin</w:t>
      </w:r>
      <w:proofErr w:type="spellEnd"/>
      <w:r>
        <w:rPr>
          <w:sz w:val="20"/>
          <w:szCs w:val="20"/>
        </w:rPr>
        <w:t xml:space="preserve">. Most people convert </w:t>
      </w:r>
      <w:proofErr w:type="spellStart"/>
      <w:r w:rsidRPr="0087745C">
        <w:rPr>
          <w:sz w:val="20"/>
          <w:szCs w:val="20"/>
        </w:rPr>
        <w:t>methemoglobin</w:t>
      </w:r>
      <w:proofErr w:type="spellEnd"/>
      <w:r w:rsidRPr="0087745C">
        <w:rPr>
          <w:sz w:val="20"/>
          <w:szCs w:val="20"/>
        </w:rPr>
        <w:t xml:space="preserve"> back to hemoglobin</w:t>
      </w:r>
      <w:r>
        <w:rPr>
          <w:sz w:val="20"/>
          <w:szCs w:val="20"/>
        </w:rPr>
        <w:t xml:space="preserve"> fairly quickly, but infants do </w:t>
      </w:r>
      <w:r w:rsidRPr="0087745C">
        <w:rPr>
          <w:sz w:val="20"/>
          <w:szCs w:val="20"/>
        </w:rPr>
        <w:t xml:space="preserve">not convert back as fast. This hinders the ability of the infant’s blood to </w:t>
      </w:r>
      <w:r>
        <w:rPr>
          <w:sz w:val="20"/>
          <w:szCs w:val="20"/>
        </w:rPr>
        <w:t xml:space="preserve">carry oxygen, leading to a blue </w:t>
      </w:r>
      <w:r w:rsidRPr="0087745C">
        <w:rPr>
          <w:sz w:val="20"/>
          <w:szCs w:val="20"/>
        </w:rPr>
        <w:t>or purple appearance in affected infants.</w:t>
      </w:r>
      <w:r>
        <w:t xml:space="preserve">”). </w:t>
      </w:r>
      <w:proofErr w:type="gramStart"/>
      <w:r>
        <w:rPr>
          <w:i/>
          <w:sz w:val="20"/>
        </w:rPr>
        <w:t xml:space="preserve">Id. </w:t>
      </w:r>
      <w:r>
        <w:rPr>
          <w:sz w:val="20"/>
        </w:rPr>
        <w:t>at 3.</w:t>
      </w:r>
      <w:proofErr w:type="gramEnd"/>
    </w:p>
  </w:footnote>
  <w:footnote w:id="55">
    <w:p w14:paraId="2F61F680" w14:textId="556CDE31" w:rsidR="0084636B" w:rsidRPr="00CC71A1" w:rsidRDefault="0084636B" w:rsidP="003809CF">
      <w:pPr>
        <w:pStyle w:val="FootnoteText"/>
        <w:spacing w:before="60"/>
        <w:jc w:val="both"/>
        <w:rPr>
          <w:i/>
        </w:rPr>
      </w:pPr>
      <w:r>
        <w:rPr>
          <w:rStyle w:val="FootnoteReference"/>
        </w:rPr>
        <w:footnoteRef/>
      </w:r>
      <w:r>
        <w:t xml:space="preserve"> </w:t>
      </w:r>
      <w:proofErr w:type="gramStart"/>
      <w:r w:rsidRPr="00CC71A1">
        <w:rPr>
          <w:i/>
          <w:sz w:val="20"/>
          <w:szCs w:val="20"/>
        </w:rPr>
        <w:t xml:space="preserve">Id. </w:t>
      </w:r>
      <w:r w:rsidRPr="00CC71A1">
        <w:rPr>
          <w:sz w:val="20"/>
          <w:szCs w:val="20"/>
        </w:rPr>
        <w:t>at 10.</w:t>
      </w:r>
      <w:proofErr w:type="gramEnd"/>
      <w:r w:rsidRPr="00CC71A1">
        <w:t xml:space="preserve"> </w:t>
      </w:r>
    </w:p>
  </w:footnote>
  <w:footnote w:id="56">
    <w:p w14:paraId="4AB6E3B9" w14:textId="1EB46C43" w:rsidR="0084636B" w:rsidRPr="003809CF" w:rsidRDefault="0084636B" w:rsidP="003809CF">
      <w:pPr>
        <w:pStyle w:val="FootnoteText"/>
        <w:spacing w:before="60"/>
        <w:jc w:val="both"/>
        <w:rPr>
          <w:i/>
        </w:rPr>
      </w:pPr>
      <w:r>
        <w:rPr>
          <w:rStyle w:val="FootnoteReference"/>
        </w:rPr>
        <w:footnoteRef/>
      </w:r>
      <w:r>
        <w:t xml:space="preserve"> </w:t>
      </w:r>
      <w:r w:rsidRPr="003809CF">
        <w:rPr>
          <w:i/>
          <w:sz w:val="20"/>
          <w:szCs w:val="20"/>
        </w:rPr>
        <w:t>Id.</w:t>
      </w:r>
      <w:r>
        <w:rPr>
          <w:i/>
        </w:rPr>
        <w:t xml:space="preserve"> </w:t>
      </w:r>
    </w:p>
  </w:footnote>
  <w:footnote w:id="57">
    <w:p w14:paraId="60BE3518" w14:textId="33857271" w:rsidR="0084636B" w:rsidRPr="00420CD7" w:rsidRDefault="0084636B" w:rsidP="00420CD7">
      <w:pPr>
        <w:pStyle w:val="FootnoteText"/>
        <w:spacing w:before="60"/>
        <w:rPr>
          <w:i/>
        </w:rPr>
      </w:pPr>
      <w:r>
        <w:rPr>
          <w:rStyle w:val="FootnoteReference"/>
        </w:rPr>
        <w:footnoteRef/>
      </w:r>
      <w:r>
        <w:t xml:space="preserve"> </w:t>
      </w:r>
      <w:r w:rsidRPr="00420CD7">
        <w:rPr>
          <w:i/>
          <w:sz w:val="20"/>
          <w:szCs w:val="20"/>
        </w:rPr>
        <w:t>Id.</w:t>
      </w:r>
      <w:r>
        <w:rPr>
          <w:i/>
        </w:rPr>
        <w:t xml:space="preserve"> </w:t>
      </w:r>
    </w:p>
  </w:footnote>
  <w:footnote w:id="58">
    <w:p w14:paraId="0323B112" w14:textId="0332E16E" w:rsidR="0084636B" w:rsidRPr="001B7FE3" w:rsidRDefault="0084636B" w:rsidP="001B7FE3">
      <w:pPr>
        <w:pStyle w:val="FootnoteText"/>
        <w:spacing w:before="60"/>
        <w:jc w:val="both"/>
        <w:rPr>
          <w:i/>
        </w:rPr>
      </w:pPr>
      <w:r>
        <w:rPr>
          <w:rStyle w:val="FootnoteReference"/>
        </w:rPr>
        <w:footnoteRef/>
      </w:r>
      <w:r>
        <w:t xml:space="preserve"> </w:t>
      </w:r>
      <w:r w:rsidRPr="001B7FE3">
        <w:rPr>
          <w:i/>
          <w:sz w:val="20"/>
          <w:szCs w:val="20"/>
        </w:rPr>
        <w:t>Id.</w:t>
      </w:r>
      <w:r>
        <w:rPr>
          <w:i/>
        </w:rPr>
        <w:t xml:space="preserve"> </w:t>
      </w:r>
    </w:p>
  </w:footnote>
  <w:footnote w:id="59">
    <w:p w14:paraId="26D7F844" w14:textId="51FD682C" w:rsidR="0084636B" w:rsidRPr="001B7FE3" w:rsidRDefault="0084636B" w:rsidP="001B7FE3">
      <w:pPr>
        <w:pStyle w:val="FootnoteText"/>
        <w:spacing w:before="60"/>
        <w:rPr>
          <w:i/>
        </w:rPr>
      </w:pPr>
      <w:r>
        <w:rPr>
          <w:rStyle w:val="FootnoteReference"/>
        </w:rPr>
        <w:footnoteRef/>
      </w:r>
      <w:r>
        <w:t xml:space="preserve"> </w:t>
      </w:r>
      <w:r w:rsidRPr="001B7FE3">
        <w:rPr>
          <w:i/>
          <w:sz w:val="20"/>
          <w:szCs w:val="20"/>
        </w:rPr>
        <w:t>Id.</w:t>
      </w:r>
      <w:r>
        <w:rPr>
          <w:i/>
        </w:rPr>
        <w:t xml:space="preserve"> </w:t>
      </w:r>
    </w:p>
  </w:footnote>
  <w:footnote w:id="60">
    <w:p w14:paraId="57BABE56" w14:textId="33206A49" w:rsidR="0084636B" w:rsidRPr="001B7FE3" w:rsidRDefault="0084636B" w:rsidP="001B7FE3">
      <w:pPr>
        <w:pStyle w:val="FootnoteText"/>
        <w:spacing w:before="60"/>
        <w:rPr>
          <w:i/>
        </w:rPr>
      </w:pPr>
      <w:r>
        <w:rPr>
          <w:rStyle w:val="FootnoteReference"/>
        </w:rPr>
        <w:footnoteRef/>
      </w:r>
      <w:r>
        <w:t xml:space="preserve"> </w:t>
      </w:r>
      <w:r w:rsidRPr="001B7FE3">
        <w:rPr>
          <w:i/>
          <w:sz w:val="20"/>
          <w:szCs w:val="20"/>
        </w:rPr>
        <w:t>Id.</w:t>
      </w:r>
      <w:r>
        <w:rPr>
          <w:i/>
        </w:rPr>
        <w:t xml:space="preserve"> </w:t>
      </w:r>
    </w:p>
  </w:footnote>
  <w:footnote w:id="61">
    <w:p w14:paraId="7E5B387C" w14:textId="591D2FD6" w:rsidR="0084636B" w:rsidRPr="00876560" w:rsidRDefault="0084636B" w:rsidP="00876560">
      <w:pPr>
        <w:pStyle w:val="FootnoteText"/>
        <w:spacing w:before="60"/>
        <w:jc w:val="both"/>
        <w:rPr>
          <w:i/>
        </w:rPr>
      </w:pPr>
      <w:r>
        <w:rPr>
          <w:rStyle w:val="FootnoteReference"/>
        </w:rPr>
        <w:footnoteRef/>
      </w:r>
      <w:r>
        <w:t xml:space="preserve"> </w:t>
      </w:r>
      <w:r w:rsidRPr="001B7FE3">
        <w:rPr>
          <w:i/>
          <w:sz w:val="20"/>
          <w:szCs w:val="20"/>
        </w:rPr>
        <w:t xml:space="preserve">Id. </w:t>
      </w:r>
      <w:r>
        <w:rPr>
          <w:sz w:val="20"/>
          <w:szCs w:val="20"/>
        </w:rPr>
        <w:t xml:space="preserve">(citing Marc Kaufman, </w:t>
      </w:r>
      <w:r>
        <w:rPr>
          <w:i/>
          <w:sz w:val="20"/>
          <w:szCs w:val="20"/>
        </w:rPr>
        <w:t>Worries Rise Over Effect of Antibiotics in Animal Feed: Humans Seen Vulnerable To Drug-Resistant Germs</w:t>
      </w:r>
      <w:r>
        <w:rPr>
          <w:sz w:val="20"/>
          <w:szCs w:val="20"/>
        </w:rPr>
        <w:t xml:space="preserve">, </w:t>
      </w:r>
      <w:r w:rsidRPr="00876560">
        <w:rPr>
          <w:smallCaps/>
          <w:sz w:val="20"/>
          <w:szCs w:val="20"/>
        </w:rPr>
        <w:t>Washington Post</w:t>
      </w:r>
      <w:r>
        <w:rPr>
          <w:sz w:val="20"/>
          <w:szCs w:val="20"/>
        </w:rPr>
        <w:t xml:space="preserve">, Mar. 17, 2000, at A01). Eating the flesh of animals </w:t>
      </w:r>
      <w:proofErr w:type="gramStart"/>
      <w:r>
        <w:rPr>
          <w:sz w:val="20"/>
          <w:szCs w:val="20"/>
        </w:rPr>
        <w:t>who</w:t>
      </w:r>
      <w:proofErr w:type="gramEnd"/>
      <w:r>
        <w:rPr>
          <w:sz w:val="20"/>
          <w:szCs w:val="20"/>
        </w:rPr>
        <w:t xml:space="preserve"> have been fed antibiotics further increases one’s risk of developing antibiotic resistance. </w:t>
      </w:r>
      <w:r>
        <w:rPr>
          <w:i/>
          <w:sz w:val="20"/>
          <w:szCs w:val="20"/>
        </w:rPr>
        <w:t xml:space="preserve">Id. </w:t>
      </w:r>
    </w:p>
  </w:footnote>
  <w:footnote w:id="62">
    <w:p w14:paraId="45AA7436" w14:textId="14DB5FC3" w:rsidR="0084636B" w:rsidRPr="00174177" w:rsidRDefault="0084636B" w:rsidP="003809CF">
      <w:pPr>
        <w:pStyle w:val="FootnoteText"/>
        <w:spacing w:before="60"/>
        <w:jc w:val="both"/>
      </w:pPr>
      <w:r>
        <w:rPr>
          <w:rStyle w:val="FootnoteReference"/>
        </w:rPr>
        <w:footnoteRef/>
      </w:r>
      <w:r>
        <w:t xml:space="preserve"> </w:t>
      </w:r>
      <w:r w:rsidRPr="00174177">
        <w:rPr>
          <w:sz w:val="20"/>
          <w:szCs w:val="20"/>
        </w:rPr>
        <w:t>“While carbon dioxide is often considered the primary greenhouse gas of concern, manure emits methane and nitrous oxide which are 23 and 300 times more potent as greenhouse gases than carbon dioxide, respectively.”</w:t>
      </w:r>
      <w:r>
        <w:t xml:space="preserve"> </w:t>
      </w:r>
      <w:proofErr w:type="gramStart"/>
      <w:r>
        <w:rPr>
          <w:i/>
          <w:sz w:val="20"/>
        </w:rPr>
        <w:t>Id.</w:t>
      </w:r>
      <w:r>
        <w:rPr>
          <w:sz w:val="20"/>
        </w:rPr>
        <w:t xml:space="preserve"> at 7.</w:t>
      </w:r>
      <w:proofErr w:type="gramEnd"/>
    </w:p>
  </w:footnote>
  <w:footnote w:id="63">
    <w:p w14:paraId="6B84973D" w14:textId="6897B525" w:rsidR="0084636B" w:rsidRPr="00C833EC" w:rsidRDefault="0084636B" w:rsidP="004C30C4">
      <w:pPr>
        <w:pStyle w:val="FootnoteText"/>
        <w:spacing w:before="60"/>
        <w:jc w:val="both"/>
        <w:rPr>
          <w:sz w:val="20"/>
        </w:rPr>
      </w:pPr>
      <w:r>
        <w:rPr>
          <w:rStyle w:val="FootnoteReference"/>
        </w:rPr>
        <w:footnoteRef/>
      </w:r>
      <w:r>
        <w:t xml:space="preserve"> </w:t>
      </w:r>
      <w:r w:rsidRPr="007E2043">
        <w:rPr>
          <w:sz w:val="20"/>
        </w:rPr>
        <w:t xml:space="preserve">Marks, </w:t>
      </w:r>
      <w:r w:rsidRPr="007E2043">
        <w:rPr>
          <w:i/>
          <w:sz w:val="20"/>
        </w:rPr>
        <w:t xml:space="preserve">supra </w:t>
      </w:r>
      <w:r>
        <w:rPr>
          <w:sz w:val="20"/>
        </w:rPr>
        <w:t>note 28</w:t>
      </w:r>
      <w:r w:rsidRPr="007E2043">
        <w:rPr>
          <w:sz w:val="20"/>
        </w:rPr>
        <w:t xml:space="preserve">, at </w:t>
      </w:r>
      <w:r>
        <w:rPr>
          <w:sz w:val="20"/>
        </w:rPr>
        <w:t>1, 17</w:t>
      </w:r>
      <w:proofErr w:type="gramStart"/>
      <w:r>
        <w:rPr>
          <w:sz w:val="20"/>
        </w:rPr>
        <w:t>;</w:t>
      </w:r>
      <w:proofErr w:type="gramEnd"/>
      <w:r>
        <w:rPr>
          <w:sz w:val="20"/>
        </w:rPr>
        <w:t xml:space="preserve"> </w:t>
      </w:r>
      <w:r w:rsidRPr="0035682D">
        <w:rPr>
          <w:sz w:val="20"/>
          <w:szCs w:val="20"/>
        </w:rPr>
        <w:t xml:space="preserve">Sarah C. Wilson, Comment, </w:t>
      </w:r>
      <w:r w:rsidRPr="0035682D">
        <w:rPr>
          <w:i/>
          <w:sz w:val="20"/>
          <w:szCs w:val="20"/>
        </w:rPr>
        <w:t xml:space="preserve">Hogwash! </w:t>
      </w:r>
      <w:proofErr w:type="gramStart"/>
      <w:r w:rsidRPr="0035682D">
        <w:rPr>
          <w:i/>
          <w:sz w:val="20"/>
          <w:szCs w:val="20"/>
        </w:rPr>
        <w:t>Why Industrial Animal Agriculture is Not Beyond the Scope of Clean Air Act Regulation</w:t>
      </w:r>
      <w:r w:rsidRPr="0035682D">
        <w:rPr>
          <w:sz w:val="20"/>
          <w:szCs w:val="20"/>
        </w:rPr>
        <w:t xml:space="preserve">, </w:t>
      </w:r>
      <w:r w:rsidRPr="0035682D">
        <w:rPr>
          <w:smallCaps/>
          <w:sz w:val="20"/>
          <w:szCs w:val="20"/>
        </w:rPr>
        <w:t xml:space="preserve">24 Pace </w:t>
      </w:r>
      <w:proofErr w:type="spellStart"/>
      <w:r w:rsidRPr="0035682D">
        <w:rPr>
          <w:smallCaps/>
          <w:sz w:val="20"/>
          <w:szCs w:val="20"/>
        </w:rPr>
        <w:t>Envtl</w:t>
      </w:r>
      <w:proofErr w:type="spellEnd"/>
      <w:r w:rsidRPr="0035682D">
        <w:rPr>
          <w:smallCaps/>
          <w:sz w:val="20"/>
          <w:szCs w:val="20"/>
        </w:rPr>
        <w:t>.</w:t>
      </w:r>
      <w:proofErr w:type="gramEnd"/>
      <w:r w:rsidRPr="0035682D">
        <w:rPr>
          <w:smallCaps/>
          <w:sz w:val="20"/>
          <w:szCs w:val="20"/>
        </w:rPr>
        <w:t xml:space="preserve"> L. Rev. 439</w:t>
      </w:r>
      <w:r w:rsidRPr="0035682D">
        <w:rPr>
          <w:sz w:val="20"/>
          <w:szCs w:val="20"/>
        </w:rPr>
        <w:t>, 541 (2007)</w:t>
      </w:r>
      <w:r>
        <w:rPr>
          <w:sz w:val="20"/>
          <w:szCs w:val="20"/>
        </w:rPr>
        <w:t>.</w:t>
      </w:r>
    </w:p>
  </w:footnote>
  <w:footnote w:id="64">
    <w:p w14:paraId="66BA959D" w14:textId="620267FC" w:rsidR="0084636B" w:rsidRPr="00E47E36" w:rsidRDefault="0084636B" w:rsidP="005B13E5">
      <w:pPr>
        <w:pStyle w:val="FootnoteText"/>
        <w:spacing w:before="60"/>
      </w:pPr>
      <w:r>
        <w:rPr>
          <w:rStyle w:val="FootnoteReference"/>
        </w:rPr>
        <w:footnoteRef/>
      </w:r>
      <w:r>
        <w:t xml:space="preserve"> </w:t>
      </w:r>
      <w:proofErr w:type="gramStart"/>
      <w:r w:rsidRPr="00E47E36">
        <w:rPr>
          <w:i/>
          <w:sz w:val="20"/>
          <w:szCs w:val="20"/>
        </w:rPr>
        <w:t xml:space="preserve">Id. </w:t>
      </w:r>
      <w:r w:rsidRPr="00E47E36">
        <w:rPr>
          <w:sz w:val="20"/>
          <w:szCs w:val="20"/>
        </w:rPr>
        <w:t>at 26.</w:t>
      </w:r>
      <w:proofErr w:type="gramEnd"/>
    </w:p>
  </w:footnote>
  <w:footnote w:id="65">
    <w:p w14:paraId="479A12D3" w14:textId="165A9838" w:rsidR="0084636B" w:rsidRPr="005B13E5" w:rsidRDefault="0084636B" w:rsidP="005B13E5">
      <w:pPr>
        <w:pStyle w:val="FootnoteText"/>
        <w:spacing w:before="60"/>
        <w:jc w:val="both"/>
      </w:pPr>
      <w:r>
        <w:rPr>
          <w:rStyle w:val="FootnoteReference"/>
        </w:rPr>
        <w:footnoteRef/>
      </w:r>
      <w:r>
        <w:t xml:space="preserve"> </w:t>
      </w:r>
      <w:r w:rsidRPr="005B13E5">
        <w:rPr>
          <w:i/>
          <w:sz w:val="20"/>
          <w:szCs w:val="20"/>
        </w:rPr>
        <w:t>I</w:t>
      </w:r>
      <w:r>
        <w:rPr>
          <w:i/>
          <w:sz w:val="20"/>
          <w:szCs w:val="20"/>
        </w:rPr>
        <w:t>NIOSH Warns: Manure Pits Continue to Claim Lives</w:t>
      </w:r>
      <w:r>
        <w:rPr>
          <w:sz w:val="20"/>
          <w:szCs w:val="20"/>
        </w:rPr>
        <w:t xml:space="preserve">, </w:t>
      </w:r>
      <w:r w:rsidRPr="005B13E5">
        <w:rPr>
          <w:smallCaps/>
          <w:sz w:val="20"/>
          <w:szCs w:val="20"/>
        </w:rPr>
        <w:t>Centers for Disease Control</w:t>
      </w:r>
      <w:r>
        <w:rPr>
          <w:sz w:val="20"/>
          <w:szCs w:val="20"/>
        </w:rPr>
        <w:t xml:space="preserve"> (Jul. 6, 1993), </w:t>
      </w:r>
      <w:proofErr w:type="gramStart"/>
      <w:r w:rsidRPr="005B13E5">
        <w:rPr>
          <w:sz w:val="20"/>
          <w:szCs w:val="20"/>
        </w:rPr>
        <w:t>https://</w:t>
      </w:r>
      <w:r>
        <w:rPr>
          <w:sz w:val="20"/>
          <w:szCs w:val="20"/>
        </w:rPr>
        <w:br/>
      </w:r>
      <w:r w:rsidRPr="005B13E5">
        <w:rPr>
          <w:sz w:val="20"/>
          <w:szCs w:val="20"/>
        </w:rPr>
        <w:t>www.</w:t>
      </w:r>
      <w:proofErr w:type="gramEnd"/>
      <w:r w:rsidRPr="005B13E5">
        <w:rPr>
          <w:sz w:val="20"/>
          <w:szCs w:val="20"/>
        </w:rPr>
        <w:t>cdc.gov/niosh/updates/93-114.html</w:t>
      </w:r>
      <w:r>
        <w:rPr>
          <w:sz w:val="20"/>
          <w:szCs w:val="20"/>
        </w:rPr>
        <w:t>.</w:t>
      </w:r>
    </w:p>
  </w:footnote>
  <w:footnote w:id="66">
    <w:p w14:paraId="11CEFBD0" w14:textId="5C73056A" w:rsidR="0084636B" w:rsidRPr="005B13E5" w:rsidRDefault="0084636B" w:rsidP="00A33102">
      <w:pPr>
        <w:pStyle w:val="FootnoteText"/>
        <w:spacing w:before="60"/>
        <w:jc w:val="both"/>
        <w:rPr>
          <w:i/>
        </w:rPr>
      </w:pPr>
      <w:r>
        <w:rPr>
          <w:rStyle w:val="FootnoteReference"/>
        </w:rPr>
        <w:footnoteRef/>
      </w:r>
      <w:r>
        <w:t xml:space="preserve"> </w:t>
      </w:r>
      <w:r w:rsidRPr="005B13E5">
        <w:rPr>
          <w:sz w:val="20"/>
          <w:szCs w:val="20"/>
        </w:rPr>
        <w:t xml:space="preserve">Marks, </w:t>
      </w:r>
      <w:r w:rsidRPr="005B13E5">
        <w:rPr>
          <w:i/>
          <w:sz w:val="20"/>
          <w:szCs w:val="20"/>
        </w:rPr>
        <w:t xml:space="preserve">supra </w:t>
      </w:r>
      <w:r>
        <w:rPr>
          <w:sz w:val="20"/>
          <w:szCs w:val="20"/>
        </w:rPr>
        <w:t>note 28</w:t>
      </w:r>
      <w:r w:rsidRPr="005B13E5">
        <w:rPr>
          <w:sz w:val="20"/>
          <w:szCs w:val="20"/>
        </w:rPr>
        <w:t xml:space="preserve">, at 26 (citing </w:t>
      </w:r>
      <w:r w:rsidRPr="005B13E5">
        <w:rPr>
          <w:i/>
          <w:sz w:val="20"/>
          <w:szCs w:val="20"/>
        </w:rPr>
        <w:t>INIOSH Warns: Manure Pits Continue to Claim Lives</w:t>
      </w:r>
      <w:r w:rsidRPr="005B13E5">
        <w:rPr>
          <w:sz w:val="20"/>
          <w:szCs w:val="20"/>
        </w:rPr>
        <w:t xml:space="preserve">, </w:t>
      </w:r>
      <w:r w:rsidRPr="005B13E5">
        <w:rPr>
          <w:smallCaps/>
          <w:sz w:val="20"/>
          <w:szCs w:val="20"/>
        </w:rPr>
        <w:t>Centers for Disease Control</w:t>
      </w:r>
      <w:r w:rsidRPr="005B13E5">
        <w:rPr>
          <w:sz w:val="20"/>
          <w:szCs w:val="20"/>
        </w:rPr>
        <w:t xml:space="preserve"> (Jul. 6, 1993), https://www.cdc.gov/niosh/updates/93-114.html.</w:t>
      </w:r>
    </w:p>
  </w:footnote>
  <w:footnote w:id="67">
    <w:p w14:paraId="1D9DE0E2" w14:textId="29B8BD60" w:rsidR="0084636B" w:rsidRDefault="0084636B" w:rsidP="0035682D">
      <w:pPr>
        <w:pStyle w:val="FootnoteText"/>
        <w:spacing w:before="60"/>
        <w:jc w:val="both"/>
      </w:pPr>
      <w:r>
        <w:rPr>
          <w:rStyle w:val="FootnoteReference"/>
        </w:rPr>
        <w:footnoteRef/>
      </w:r>
      <w:r>
        <w:t xml:space="preserve"> </w:t>
      </w:r>
      <w:r w:rsidRPr="0035682D">
        <w:rPr>
          <w:sz w:val="20"/>
          <w:szCs w:val="20"/>
        </w:rPr>
        <w:t>Wilson,</w:t>
      </w:r>
      <w:r>
        <w:rPr>
          <w:sz w:val="20"/>
          <w:szCs w:val="20"/>
        </w:rPr>
        <w:t xml:space="preserve"> </w:t>
      </w:r>
      <w:r>
        <w:rPr>
          <w:i/>
          <w:sz w:val="20"/>
          <w:szCs w:val="20"/>
        </w:rPr>
        <w:t xml:space="preserve">supra </w:t>
      </w:r>
      <w:r>
        <w:rPr>
          <w:sz w:val="20"/>
          <w:szCs w:val="20"/>
        </w:rPr>
        <w:t xml:space="preserve">note 63 at 541 </w:t>
      </w:r>
      <w:r w:rsidRPr="0035682D">
        <w:rPr>
          <w:sz w:val="20"/>
          <w:szCs w:val="20"/>
        </w:rPr>
        <w:t xml:space="preserve">(citing </w:t>
      </w:r>
      <w:r w:rsidRPr="0035682D">
        <w:rPr>
          <w:smallCaps/>
          <w:sz w:val="20"/>
          <w:szCs w:val="20"/>
        </w:rPr>
        <w:t>Sierra Club, Clean Water and Factory Farms: Reports and Fact- sheets: Air Pollution from Factory Farms</w:t>
      </w:r>
      <w:r w:rsidRPr="0035682D">
        <w:rPr>
          <w:sz w:val="20"/>
          <w:szCs w:val="20"/>
        </w:rPr>
        <w:t xml:space="preserve">, http://www.sierraclub.orgfactoryfarms/ factsheets/air.asp (last visited Jan. 20, 2007), </w:t>
      </w:r>
      <w:r w:rsidRPr="0035682D">
        <w:rPr>
          <w:i/>
          <w:sz w:val="20"/>
          <w:szCs w:val="20"/>
        </w:rPr>
        <w:t xml:space="preserve">cited in </w:t>
      </w:r>
      <w:r w:rsidRPr="00CC3B62">
        <w:rPr>
          <w:sz w:val="20"/>
        </w:rPr>
        <w:t xml:space="preserve">J. Nicholas Hoover, </w:t>
      </w:r>
      <w:r w:rsidRPr="00CC3B62">
        <w:rPr>
          <w:i/>
          <w:sz w:val="20"/>
        </w:rPr>
        <w:t>Can’t You Smell That Smell? Clean Air Act Fixes for Factory Farm Air Pollution</w:t>
      </w:r>
      <w:r w:rsidRPr="00CC3B62">
        <w:rPr>
          <w:sz w:val="20"/>
        </w:rPr>
        <w:t>, 6</w:t>
      </w:r>
      <w:r>
        <w:rPr>
          <w:sz w:val="20"/>
        </w:rPr>
        <w:t>, 9</w:t>
      </w:r>
      <w:r w:rsidRPr="00CC3B62">
        <w:rPr>
          <w:sz w:val="20"/>
        </w:rPr>
        <w:t xml:space="preserve"> </w:t>
      </w:r>
      <w:r w:rsidRPr="00CC3B62">
        <w:rPr>
          <w:smallCaps/>
          <w:sz w:val="20"/>
        </w:rPr>
        <w:t xml:space="preserve">Stan. J. Animal L. &amp; </w:t>
      </w:r>
      <w:proofErr w:type="spellStart"/>
      <w:r w:rsidRPr="00CC3B62">
        <w:rPr>
          <w:smallCaps/>
          <w:sz w:val="20"/>
        </w:rPr>
        <w:t>Pol'y</w:t>
      </w:r>
      <w:proofErr w:type="spellEnd"/>
      <w:r w:rsidRPr="00CC3B62">
        <w:rPr>
          <w:sz w:val="20"/>
        </w:rPr>
        <w:t xml:space="preserve"> 1</w:t>
      </w:r>
      <w:r>
        <w:rPr>
          <w:sz w:val="20"/>
        </w:rPr>
        <w:t>, 10</w:t>
      </w:r>
      <w:r w:rsidRPr="00CC3B62">
        <w:rPr>
          <w:sz w:val="20"/>
        </w:rPr>
        <w:t xml:space="preserve"> (2013)</w:t>
      </w:r>
      <w:r>
        <w:rPr>
          <w:sz w:val="20"/>
        </w:rPr>
        <w:t>.</w:t>
      </w:r>
    </w:p>
  </w:footnote>
  <w:footnote w:id="68">
    <w:p w14:paraId="0E8A63E3" w14:textId="7A5C7F6A" w:rsidR="0084636B" w:rsidRPr="002C1F7E" w:rsidRDefault="0084636B" w:rsidP="002C1F7E">
      <w:pPr>
        <w:pStyle w:val="FootnoteText"/>
        <w:spacing w:before="60"/>
      </w:pPr>
      <w:r>
        <w:rPr>
          <w:rStyle w:val="FootnoteReference"/>
        </w:rPr>
        <w:footnoteRef/>
      </w:r>
      <w:r>
        <w:t xml:space="preserve"> </w:t>
      </w:r>
      <w:proofErr w:type="spellStart"/>
      <w:r>
        <w:rPr>
          <w:sz w:val="20"/>
        </w:rPr>
        <w:t>Hribar</w:t>
      </w:r>
      <w:proofErr w:type="spellEnd"/>
      <w:r>
        <w:rPr>
          <w:sz w:val="20"/>
        </w:rPr>
        <w:t xml:space="preserve">, </w:t>
      </w:r>
      <w:r>
        <w:rPr>
          <w:i/>
          <w:sz w:val="20"/>
        </w:rPr>
        <w:t xml:space="preserve">supra </w:t>
      </w:r>
      <w:r>
        <w:rPr>
          <w:sz w:val="20"/>
        </w:rPr>
        <w:t>note 35, at 6.</w:t>
      </w:r>
    </w:p>
  </w:footnote>
  <w:footnote w:id="69">
    <w:p w14:paraId="6D302E83" w14:textId="2B1B0EB9" w:rsidR="0084636B" w:rsidRPr="00A24E03" w:rsidRDefault="0084636B" w:rsidP="00DE23B3">
      <w:pPr>
        <w:pStyle w:val="FootnoteText"/>
        <w:spacing w:before="60"/>
        <w:jc w:val="both"/>
        <w:rPr>
          <w:i/>
        </w:rPr>
      </w:pPr>
      <w:r>
        <w:rPr>
          <w:rStyle w:val="FootnoteReference"/>
        </w:rPr>
        <w:footnoteRef/>
      </w:r>
      <w:r>
        <w:t xml:space="preserve"> </w:t>
      </w:r>
      <w:r w:rsidRPr="00DE23B3">
        <w:rPr>
          <w:i/>
          <w:sz w:val="20"/>
          <w:szCs w:val="20"/>
        </w:rPr>
        <w:t>Id.</w:t>
      </w:r>
      <w:r>
        <w:rPr>
          <w:i/>
        </w:rPr>
        <w:t xml:space="preserve"> </w:t>
      </w:r>
    </w:p>
  </w:footnote>
  <w:footnote w:id="70">
    <w:p w14:paraId="54DAFBE9" w14:textId="6C8ADC75" w:rsidR="0084636B" w:rsidRPr="00A24E03" w:rsidRDefault="0084636B" w:rsidP="00DE23B3">
      <w:pPr>
        <w:pStyle w:val="FootnoteText"/>
        <w:spacing w:before="60"/>
        <w:jc w:val="both"/>
        <w:rPr>
          <w:i/>
        </w:rPr>
      </w:pPr>
      <w:r>
        <w:rPr>
          <w:rStyle w:val="FootnoteReference"/>
        </w:rPr>
        <w:footnoteRef/>
      </w:r>
      <w:r>
        <w:t xml:space="preserve"> </w:t>
      </w:r>
      <w:r w:rsidRPr="00DE23B3">
        <w:rPr>
          <w:i/>
          <w:sz w:val="20"/>
          <w:szCs w:val="20"/>
        </w:rPr>
        <w:t>Id.</w:t>
      </w:r>
      <w:r>
        <w:rPr>
          <w:i/>
        </w:rPr>
        <w:t xml:space="preserve"> </w:t>
      </w:r>
    </w:p>
  </w:footnote>
  <w:footnote w:id="71">
    <w:p w14:paraId="19C606C0" w14:textId="2ABB658C" w:rsidR="0084636B" w:rsidRPr="00A24E03" w:rsidRDefault="0084636B" w:rsidP="00DE23B3">
      <w:pPr>
        <w:pStyle w:val="FootnoteText"/>
        <w:spacing w:before="60"/>
        <w:jc w:val="both"/>
        <w:rPr>
          <w:i/>
        </w:rPr>
      </w:pPr>
      <w:r>
        <w:rPr>
          <w:rStyle w:val="FootnoteReference"/>
        </w:rPr>
        <w:footnoteRef/>
      </w:r>
      <w:r>
        <w:t xml:space="preserve"> </w:t>
      </w:r>
      <w:r w:rsidRPr="00DE23B3">
        <w:rPr>
          <w:i/>
          <w:sz w:val="20"/>
          <w:szCs w:val="20"/>
        </w:rPr>
        <w:t>Id.</w:t>
      </w:r>
      <w:r>
        <w:rPr>
          <w:i/>
        </w:rPr>
        <w:t xml:space="preserve"> </w:t>
      </w:r>
    </w:p>
  </w:footnote>
  <w:footnote w:id="72">
    <w:p w14:paraId="510D9957" w14:textId="5C5132A1" w:rsidR="0084636B" w:rsidRPr="009A72DE" w:rsidRDefault="0084636B" w:rsidP="003464E6">
      <w:pPr>
        <w:pStyle w:val="FootnoteText"/>
        <w:spacing w:before="60"/>
        <w:jc w:val="both"/>
        <w:rPr>
          <w:sz w:val="20"/>
          <w:szCs w:val="20"/>
        </w:rPr>
      </w:pPr>
      <w:r>
        <w:rPr>
          <w:rStyle w:val="FootnoteReference"/>
        </w:rPr>
        <w:footnoteRef/>
      </w:r>
      <w:r>
        <w:t xml:space="preserve"> </w:t>
      </w:r>
      <w:r w:rsidRPr="00406F2B">
        <w:rPr>
          <w:i/>
          <w:sz w:val="20"/>
          <w:szCs w:val="20"/>
        </w:rPr>
        <w:t xml:space="preserve">Id. </w:t>
      </w:r>
      <w:r w:rsidRPr="00406F2B">
        <w:rPr>
          <w:sz w:val="20"/>
          <w:szCs w:val="20"/>
        </w:rPr>
        <w:t>at 5 (citing</w:t>
      </w:r>
      <w:r>
        <w:rPr>
          <w:sz w:val="20"/>
          <w:szCs w:val="20"/>
        </w:rPr>
        <w:t xml:space="preserve"> Michael T. </w:t>
      </w:r>
      <w:proofErr w:type="spellStart"/>
      <w:r>
        <w:rPr>
          <w:sz w:val="20"/>
          <w:szCs w:val="20"/>
        </w:rPr>
        <w:t>Kleinman</w:t>
      </w:r>
      <w:proofErr w:type="spellEnd"/>
      <w:r>
        <w:rPr>
          <w:sz w:val="20"/>
          <w:szCs w:val="20"/>
        </w:rPr>
        <w:t xml:space="preserve">, </w:t>
      </w:r>
      <w:r w:rsidRPr="00B20CC5">
        <w:rPr>
          <w:sz w:val="20"/>
          <w:szCs w:val="20"/>
        </w:rPr>
        <w:t>The Health Effects of Air Pollution on Children</w:t>
      </w:r>
      <w:r>
        <w:rPr>
          <w:sz w:val="20"/>
          <w:szCs w:val="20"/>
        </w:rPr>
        <w:t xml:space="preserve"> (Fall 2000) (unpublished manuscript), </w:t>
      </w:r>
      <w:r w:rsidRPr="009A72DE">
        <w:rPr>
          <w:sz w:val="20"/>
          <w:szCs w:val="20"/>
        </w:rPr>
        <w:t>http://www.aqmd.gov/docs/default-source/students/health-effects.pdf</w:t>
      </w:r>
      <w:r>
        <w:rPr>
          <w:sz w:val="20"/>
          <w:szCs w:val="20"/>
        </w:rPr>
        <w:t xml:space="preserve">); J. R. Barrett, </w:t>
      </w:r>
      <w:r>
        <w:rPr>
          <w:i/>
          <w:sz w:val="20"/>
          <w:szCs w:val="20"/>
        </w:rPr>
        <w:t>Hogging the Air: CAFO Emissions Reach Into Schools</w:t>
      </w:r>
      <w:r>
        <w:rPr>
          <w:sz w:val="20"/>
          <w:szCs w:val="20"/>
        </w:rPr>
        <w:t xml:space="preserve">, </w:t>
      </w:r>
      <w:r w:rsidRPr="003464E6">
        <w:rPr>
          <w:smallCaps/>
          <w:sz w:val="20"/>
          <w:szCs w:val="20"/>
        </w:rPr>
        <w:t xml:space="preserve">114 </w:t>
      </w:r>
      <w:proofErr w:type="spellStart"/>
      <w:r w:rsidRPr="003464E6">
        <w:rPr>
          <w:smallCaps/>
          <w:sz w:val="20"/>
          <w:szCs w:val="20"/>
        </w:rPr>
        <w:t>Envtl</w:t>
      </w:r>
      <w:proofErr w:type="spellEnd"/>
      <w:r w:rsidRPr="003464E6">
        <w:rPr>
          <w:smallCaps/>
          <w:sz w:val="20"/>
          <w:szCs w:val="20"/>
        </w:rPr>
        <w:t xml:space="preserve">. Health </w:t>
      </w:r>
      <w:proofErr w:type="spellStart"/>
      <w:r w:rsidRPr="003464E6">
        <w:rPr>
          <w:smallCaps/>
          <w:sz w:val="20"/>
          <w:szCs w:val="20"/>
        </w:rPr>
        <w:t>Persp</w:t>
      </w:r>
      <w:proofErr w:type="spellEnd"/>
      <w:r w:rsidRPr="003464E6">
        <w:rPr>
          <w:smallCaps/>
          <w:sz w:val="20"/>
          <w:szCs w:val="20"/>
        </w:rPr>
        <w:t>.</w:t>
      </w:r>
      <w:r>
        <w:rPr>
          <w:sz w:val="20"/>
          <w:szCs w:val="20"/>
        </w:rPr>
        <w:t xml:space="preserve"> A241 (2006)) (internal citations omitted).  </w:t>
      </w:r>
    </w:p>
  </w:footnote>
  <w:footnote w:id="73">
    <w:p w14:paraId="135E01DB" w14:textId="07F52E60" w:rsidR="0084636B" w:rsidRPr="00406F2B" w:rsidRDefault="0084636B" w:rsidP="003464E6">
      <w:pPr>
        <w:pStyle w:val="FootnoteText"/>
        <w:spacing w:before="60"/>
        <w:rPr>
          <w:i/>
        </w:rPr>
      </w:pPr>
      <w:r>
        <w:rPr>
          <w:rStyle w:val="FootnoteReference"/>
        </w:rPr>
        <w:footnoteRef/>
      </w:r>
      <w:r>
        <w:t xml:space="preserve"> </w:t>
      </w:r>
      <w:r w:rsidRPr="00406F2B">
        <w:rPr>
          <w:i/>
          <w:sz w:val="20"/>
          <w:szCs w:val="20"/>
        </w:rPr>
        <w:t>Id.</w:t>
      </w:r>
      <w:r>
        <w:rPr>
          <w:i/>
        </w:rPr>
        <w:t xml:space="preserve"> </w:t>
      </w:r>
    </w:p>
  </w:footnote>
  <w:footnote w:id="74">
    <w:p w14:paraId="279F61A1" w14:textId="5695E983" w:rsidR="0084636B" w:rsidRPr="005F06C0" w:rsidRDefault="0084636B" w:rsidP="0091193E">
      <w:pPr>
        <w:pStyle w:val="FootnoteText"/>
        <w:spacing w:before="60"/>
        <w:jc w:val="both"/>
      </w:pPr>
      <w:r>
        <w:rPr>
          <w:rStyle w:val="FootnoteReference"/>
        </w:rPr>
        <w:footnoteRef/>
      </w:r>
      <w:r>
        <w:t xml:space="preserve"> </w:t>
      </w:r>
      <w:r w:rsidRPr="005F06C0">
        <w:rPr>
          <w:i/>
          <w:sz w:val="20"/>
          <w:szCs w:val="20"/>
        </w:rPr>
        <w:t xml:space="preserve">Id. </w:t>
      </w:r>
      <w:r w:rsidRPr="005F06C0">
        <w:rPr>
          <w:sz w:val="20"/>
          <w:szCs w:val="20"/>
        </w:rPr>
        <w:t xml:space="preserve">at </w:t>
      </w:r>
      <w:r>
        <w:rPr>
          <w:sz w:val="20"/>
          <w:szCs w:val="20"/>
        </w:rPr>
        <w:t>5-</w:t>
      </w:r>
      <w:r w:rsidRPr="005F06C0">
        <w:rPr>
          <w:sz w:val="20"/>
          <w:szCs w:val="20"/>
        </w:rPr>
        <w:t>6 (citing M</w:t>
      </w:r>
      <w:r>
        <w:rPr>
          <w:sz w:val="20"/>
          <w:szCs w:val="20"/>
        </w:rPr>
        <w:t xml:space="preserve">. C. </w:t>
      </w:r>
      <w:proofErr w:type="spellStart"/>
      <w:r>
        <w:rPr>
          <w:sz w:val="20"/>
          <w:szCs w:val="20"/>
        </w:rPr>
        <w:t>Mirabelli</w:t>
      </w:r>
      <w:proofErr w:type="spellEnd"/>
      <w:r>
        <w:rPr>
          <w:sz w:val="20"/>
          <w:szCs w:val="20"/>
        </w:rPr>
        <w:t xml:space="preserve"> et al, </w:t>
      </w:r>
      <w:r>
        <w:rPr>
          <w:i/>
          <w:sz w:val="20"/>
          <w:szCs w:val="20"/>
        </w:rPr>
        <w:t xml:space="preserve">Race, Poverty, and Potential Exposure of Middle-School Students to Air Emissions from Confined Swine </w:t>
      </w:r>
      <w:r w:rsidRPr="003464E6">
        <w:rPr>
          <w:i/>
          <w:sz w:val="20"/>
          <w:szCs w:val="20"/>
        </w:rPr>
        <w:t>Feeding Operations</w:t>
      </w:r>
      <w:r>
        <w:rPr>
          <w:sz w:val="20"/>
          <w:szCs w:val="20"/>
        </w:rPr>
        <w:t xml:space="preserve">, </w:t>
      </w:r>
      <w:r w:rsidRPr="00367A60">
        <w:rPr>
          <w:smallCaps/>
          <w:sz w:val="20"/>
          <w:szCs w:val="20"/>
        </w:rPr>
        <w:t xml:space="preserve">114 </w:t>
      </w:r>
      <w:proofErr w:type="spellStart"/>
      <w:r w:rsidRPr="00367A60">
        <w:rPr>
          <w:smallCaps/>
          <w:sz w:val="20"/>
          <w:szCs w:val="20"/>
        </w:rPr>
        <w:t>Envtl</w:t>
      </w:r>
      <w:proofErr w:type="spellEnd"/>
      <w:r w:rsidRPr="00367A60">
        <w:rPr>
          <w:smallCaps/>
          <w:sz w:val="20"/>
          <w:szCs w:val="20"/>
        </w:rPr>
        <w:t xml:space="preserve">. Health </w:t>
      </w:r>
      <w:proofErr w:type="spellStart"/>
      <w:r w:rsidRPr="00367A60">
        <w:rPr>
          <w:smallCaps/>
          <w:sz w:val="20"/>
          <w:szCs w:val="20"/>
        </w:rPr>
        <w:t>Persp</w:t>
      </w:r>
      <w:proofErr w:type="spellEnd"/>
      <w:r w:rsidRPr="00367A60">
        <w:rPr>
          <w:smallCaps/>
          <w:sz w:val="20"/>
          <w:szCs w:val="20"/>
        </w:rPr>
        <w:t>.</w:t>
      </w:r>
      <w:r>
        <w:rPr>
          <w:sz w:val="20"/>
          <w:szCs w:val="20"/>
        </w:rPr>
        <w:t xml:space="preserve"> </w:t>
      </w:r>
      <w:proofErr w:type="gramStart"/>
      <w:r>
        <w:rPr>
          <w:sz w:val="20"/>
          <w:szCs w:val="20"/>
        </w:rPr>
        <w:t>591-96 (2006) (internal citations omitted).</w:t>
      </w:r>
      <w:proofErr w:type="gramEnd"/>
      <w:r>
        <w:rPr>
          <w:sz w:val="20"/>
          <w:szCs w:val="20"/>
        </w:rPr>
        <w:t xml:space="preserve"> </w:t>
      </w:r>
    </w:p>
  </w:footnote>
  <w:footnote w:id="75">
    <w:p w14:paraId="2B41EF72" w14:textId="591217BE" w:rsidR="0084636B" w:rsidRPr="008D4306" w:rsidRDefault="0084636B" w:rsidP="0091193E">
      <w:pPr>
        <w:pStyle w:val="FootnoteText"/>
        <w:spacing w:before="60"/>
        <w:jc w:val="both"/>
      </w:pPr>
      <w:r>
        <w:rPr>
          <w:rStyle w:val="FootnoteReference"/>
        </w:rPr>
        <w:footnoteRef/>
      </w:r>
      <w:r>
        <w:t xml:space="preserve"> </w:t>
      </w:r>
      <w:proofErr w:type="gramStart"/>
      <w:r w:rsidRPr="008D4306">
        <w:rPr>
          <w:i/>
          <w:sz w:val="20"/>
          <w:szCs w:val="20"/>
        </w:rPr>
        <w:t xml:space="preserve">Id. </w:t>
      </w:r>
      <w:r w:rsidRPr="008D4306">
        <w:rPr>
          <w:sz w:val="20"/>
          <w:szCs w:val="20"/>
        </w:rPr>
        <w:t>at 11.</w:t>
      </w:r>
      <w:proofErr w:type="gramEnd"/>
    </w:p>
  </w:footnote>
  <w:footnote w:id="76">
    <w:p w14:paraId="09100F27" w14:textId="0B22BB8B" w:rsidR="0084636B" w:rsidRDefault="0084636B" w:rsidP="0091193E">
      <w:pPr>
        <w:pStyle w:val="FootnoteText"/>
        <w:spacing w:before="60"/>
        <w:jc w:val="both"/>
      </w:pPr>
      <w:r>
        <w:rPr>
          <w:rStyle w:val="FootnoteReference"/>
        </w:rPr>
        <w:footnoteRef/>
      </w:r>
      <w:r>
        <w:t xml:space="preserve"> </w:t>
      </w:r>
      <w:r>
        <w:rPr>
          <w:sz w:val="20"/>
        </w:rPr>
        <w:t xml:space="preserve">Nicole, </w:t>
      </w:r>
      <w:r>
        <w:rPr>
          <w:i/>
          <w:sz w:val="20"/>
        </w:rPr>
        <w:t xml:space="preserve">supra </w:t>
      </w:r>
      <w:r>
        <w:rPr>
          <w:sz w:val="20"/>
        </w:rPr>
        <w:t>note 14, at A183.</w:t>
      </w:r>
    </w:p>
  </w:footnote>
  <w:footnote w:id="77">
    <w:p w14:paraId="3031D27F" w14:textId="03382DA7" w:rsidR="0084636B" w:rsidRPr="00C22D2D" w:rsidRDefault="0084636B" w:rsidP="0091193E">
      <w:pPr>
        <w:pStyle w:val="FootnoteText"/>
        <w:spacing w:before="60"/>
        <w:jc w:val="both"/>
      </w:pPr>
      <w:r>
        <w:rPr>
          <w:rStyle w:val="FootnoteReference"/>
        </w:rPr>
        <w:footnoteRef/>
      </w:r>
      <w:r>
        <w:t xml:space="preserve"> </w:t>
      </w:r>
      <w:r w:rsidRPr="00E907ED">
        <w:rPr>
          <w:sz w:val="20"/>
          <w:szCs w:val="20"/>
        </w:rPr>
        <w:t xml:space="preserve">North Carolina Environmental Justice Network, </w:t>
      </w:r>
      <w:r w:rsidRPr="00E907ED">
        <w:rPr>
          <w:i/>
          <w:sz w:val="20"/>
          <w:szCs w:val="20"/>
        </w:rPr>
        <w:t xml:space="preserve">supra </w:t>
      </w:r>
      <w:r>
        <w:rPr>
          <w:sz w:val="20"/>
          <w:szCs w:val="20"/>
        </w:rPr>
        <w:t>note 51</w:t>
      </w:r>
      <w:r w:rsidRPr="00E907ED">
        <w:rPr>
          <w:sz w:val="20"/>
          <w:szCs w:val="20"/>
        </w:rPr>
        <w:t xml:space="preserve"> (quoting Duplin County, North Carolina resident Elsie Herring).</w:t>
      </w:r>
      <w:r>
        <w:t xml:space="preserve"> </w:t>
      </w:r>
    </w:p>
  </w:footnote>
  <w:footnote w:id="78">
    <w:p w14:paraId="62D210E0" w14:textId="72A1B8F6" w:rsidR="0084636B" w:rsidRDefault="0084636B" w:rsidP="0091193E">
      <w:pPr>
        <w:pStyle w:val="FootnoteText"/>
        <w:spacing w:before="60"/>
      </w:pPr>
      <w:r>
        <w:rPr>
          <w:rStyle w:val="FootnoteReference"/>
        </w:rPr>
        <w:footnoteRef/>
      </w:r>
      <w:r>
        <w:t xml:space="preserve"> </w:t>
      </w:r>
      <w:r>
        <w:rPr>
          <w:sz w:val="20"/>
        </w:rPr>
        <w:t xml:space="preserve">Nicole, </w:t>
      </w:r>
      <w:r>
        <w:rPr>
          <w:i/>
          <w:sz w:val="20"/>
        </w:rPr>
        <w:t xml:space="preserve">supra </w:t>
      </w:r>
      <w:r>
        <w:rPr>
          <w:sz w:val="20"/>
        </w:rPr>
        <w:t xml:space="preserve">note 14, at A183. </w:t>
      </w:r>
    </w:p>
  </w:footnote>
  <w:footnote w:id="79">
    <w:p w14:paraId="2F42D458" w14:textId="14BDA3B4" w:rsidR="0084636B" w:rsidRDefault="0084636B" w:rsidP="0091193E">
      <w:pPr>
        <w:pStyle w:val="FootnoteText"/>
        <w:spacing w:before="60"/>
        <w:jc w:val="both"/>
      </w:pPr>
      <w:r>
        <w:rPr>
          <w:rStyle w:val="FootnoteReference"/>
        </w:rPr>
        <w:footnoteRef/>
      </w:r>
      <w:r>
        <w:t xml:space="preserve"> </w:t>
      </w:r>
      <w:proofErr w:type="spellStart"/>
      <w:r>
        <w:rPr>
          <w:sz w:val="20"/>
        </w:rPr>
        <w:t>Hribar</w:t>
      </w:r>
      <w:proofErr w:type="spellEnd"/>
      <w:r>
        <w:rPr>
          <w:sz w:val="20"/>
        </w:rPr>
        <w:t xml:space="preserve">, </w:t>
      </w:r>
      <w:r>
        <w:rPr>
          <w:i/>
          <w:sz w:val="20"/>
        </w:rPr>
        <w:t xml:space="preserve">supra </w:t>
      </w:r>
      <w:r>
        <w:rPr>
          <w:sz w:val="20"/>
        </w:rPr>
        <w:t>note 34, at 8.</w:t>
      </w:r>
    </w:p>
  </w:footnote>
  <w:footnote w:id="80">
    <w:p w14:paraId="413DA658" w14:textId="6B90D177" w:rsidR="0084636B" w:rsidRPr="00F93AFE" w:rsidRDefault="0084636B" w:rsidP="00F93AFE">
      <w:pPr>
        <w:pStyle w:val="FootnoteText"/>
        <w:spacing w:before="60"/>
        <w:jc w:val="both"/>
      </w:pPr>
      <w:r>
        <w:rPr>
          <w:rStyle w:val="FootnoteReference"/>
        </w:rPr>
        <w:footnoteRef/>
      </w:r>
      <w:r>
        <w:t xml:space="preserve"> </w:t>
      </w:r>
      <w:proofErr w:type="gramStart"/>
      <w:r w:rsidRPr="00F93AFE">
        <w:rPr>
          <w:i/>
          <w:sz w:val="20"/>
          <w:szCs w:val="20"/>
        </w:rPr>
        <w:t xml:space="preserve">Id. </w:t>
      </w:r>
      <w:r w:rsidRPr="00F93AFE">
        <w:rPr>
          <w:sz w:val="20"/>
          <w:szCs w:val="20"/>
        </w:rPr>
        <w:t xml:space="preserve">at 11 (citing </w:t>
      </w:r>
      <w:r>
        <w:rPr>
          <w:i/>
          <w:sz w:val="20"/>
          <w:szCs w:val="20"/>
        </w:rPr>
        <w:t>CAFO</w:t>
      </w:r>
      <w:r w:rsidRPr="00F93AFE">
        <w:rPr>
          <w:i/>
          <w:sz w:val="20"/>
          <w:szCs w:val="20"/>
        </w:rPr>
        <w:t xml:space="preserve"> Economic Impact</w:t>
      </w:r>
      <w:r w:rsidRPr="00F93AFE">
        <w:rPr>
          <w:sz w:val="20"/>
          <w:szCs w:val="20"/>
        </w:rPr>
        <w:t xml:space="preserve">, </w:t>
      </w:r>
      <w:r w:rsidRPr="00F93AFE">
        <w:rPr>
          <w:smallCaps/>
          <w:sz w:val="20"/>
          <w:szCs w:val="20"/>
        </w:rPr>
        <w:t>Dakota Rural Action: Grassroots Organizing for the Future</w:t>
      </w:r>
      <w:r w:rsidRPr="00F93AFE">
        <w:rPr>
          <w:sz w:val="20"/>
          <w:szCs w:val="20"/>
        </w:rPr>
        <w:t xml:space="preserve"> (Jun. 2006), http://www.dakotarural.org/issues/livestock/cafos/).</w:t>
      </w:r>
      <w:proofErr w:type="gramEnd"/>
    </w:p>
  </w:footnote>
  <w:footnote w:id="81">
    <w:p w14:paraId="0EDD9088" w14:textId="3C223449" w:rsidR="0084636B" w:rsidRPr="000E0798" w:rsidRDefault="0084636B" w:rsidP="000E0798">
      <w:pPr>
        <w:pStyle w:val="FootnoteText"/>
        <w:spacing w:before="60"/>
        <w:jc w:val="both"/>
      </w:pPr>
      <w:r>
        <w:rPr>
          <w:rStyle w:val="FootnoteReference"/>
        </w:rPr>
        <w:footnoteRef/>
      </w:r>
      <w:r>
        <w:t xml:space="preserve"> </w:t>
      </w:r>
      <w:r w:rsidRPr="000E0798">
        <w:rPr>
          <w:i/>
          <w:sz w:val="20"/>
          <w:szCs w:val="20"/>
        </w:rPr>
        <w:t xml:space="preserve">Id. </w:t>
      </w:r>
      <w:r w:rsidRPr="000E0798">
        <w:rPr>
          <w:sz w:val="20"/>
          <w:szCs w:val="20"/>
        </w:rPr>
        <w:t xml:space="preserve">(citing </w:t>
      </w:r>
      <w:r>
        <w:rPr>
          <w:sz w:val="20"/>
          <w:szCs w:val="20"/>
        </w:rPr>
        <w:t xml:space="preserve">Joseph A. </w:t>
      </w:r>
      <w:proofErr w:type="spellStart"/>
      <w:r>
        <w:rPr>
          <w:sz w:val="20"/>
          <w:szCs w:val="20"/>
        </w:rPr>
        <w:t>Herriges</w:t>
      </w:r>
      <w:proofErr w:type="spellEnd"/>
      <w:r>
        <w:rPr>
          <w:sz w:val="20"/>
          <w:szCs w:val="20"/>
        </w:rPr>
        <w:t xml:space="preserve"> et al, </w:t>
      </w:r>
      <w:r>
        <w:rPr>
          <w:i/>
          <w:sz w:val="20"/>
          <w:szCs w:val="20"/>
        </w:rPr>
        <w:t xml:space="preserve">Living With Hogs in Iowa: The Impact of Livestock Facilities On Rural Residential Property </w:t>
      </w:r>
      <w:r w:rsidRPr="00957D9D">
        <w:rPr>
          <w:i/>
          <w:sz w:val="20"/>
          <w:szCs w:val="20"/>
        </w:rPr>
        <w:t>Values</w:t>
      </w:r>
      <w:r>
        <w:rPr>
          <w:sz w:val="20"/>
          <w:szCs w:val="20"/>
        </w:rPr>
        <w:t xml:space="preserve">, </w:t>
      </w:r>
      <w:r w:rsidRPr="00F93AFE">
        <w:rPr>
          <w:smallCaps/>
          <w:sz w:val="20"/>
          <w:szCs w:val="20"/>
        </w:rPr>
        <w:t>81 Land Econ. 530-45</w:t>
      </w:r>
      <w:r>
        <w:rPr>
          <w:sz w:val="20"/>
          <w:szCs w:val="20"/>
        </w:rPr>
        <w:t xml:space="preserve"> (2005)).</w:t>
      </w:r>
    </w:p>
  </w:footnote>
  <w:footnote w:id="82">
    <w:p w14:paraId="2394A938" w14:textId="01A2C1DA" w:rsidR="0084636B" w:rsidRPr="003509A6" w:rsidRDefault="0084636B" w:rsidP="00F93AFE">
      <w:pPr>
        <w:pStyle w:val="FootnoteText"/>
        <w:spacing w:before="60"/>
        <w:jc w:val="both"/>
        <w:rPr>
          <w:i/>
        </w:rPr>
      </w:pPr>
      <w:r>
        <w:rPr>
          <w:rStyle w:val="FootnoteReference"/>
        </w:rPr>
        <w:footnoteRef/>
      </w:r>
      <w:r>
        <w:t xml:space="preserve"> </w:t>
      </w:r>
      <w:r w:rsidRPr="00F93AFE">
        <w:rPr>
          <w:i/>
          <w:sz w:val="20"/>
          <w:szCs w:val="20"/>
        </w:rPr>
        <w:t>Id.</w:t>
      </w:r>
      <w:r>
        <w:rPr>
          <w:i/>
        </w:rPr>
        <w:t xml:space="preserve"> </w:t>
      </w:r>
    </w:p>
  </w:footnote>
  <w:footnote w:id="83">
    <w:p w14:paraId="5D1EDB3A" w14:textId="0A10515E" w:rsidR="0084636B" w:rsidRPr="000E0798" w:rsidRDefault="0084636B" w:rsidP="000E0798">
      <w:pPr>
        <w:pStyle w:val="FootnoteText"/>
        <w:spacing w:before="60"/>
        <w:jc w:val="both"/>
        <w:rPr>
          <w:i/>
          <w:sz w:val="20"/>
          <w:szCs w:val="20"/>
        </w:rPr>
      </w:pPr>
      <w:r>
        <w:rPr>
          <w:rStyle w:val="FootnoteReference"/>
        </w:rPr>
        <w:footnoteRef/>
      </w:r>
      <w:r>
        <w:t xml:space="preserve"> </w:t>
      </w:r>
      <w:r>
        <w:rPr>
          <w:i/>
          <w:sz w:val="20"/>
          <w:szCs w:val="20"/>
        </w:rPr>
        <w:t>Id.</w:t>
      </w:r>
    </w:p>
  </w:footnote>
  <w:footnote w:id="84">
    <w:p w14:paraId="080D72E9" w14:textId="62A775F0" w:rsidR="0084636B" w:rsidRDefault="0084636B" w:rsidP="00D129FE">
      <w:pPr>
        <w:pStyle w:val="FootnoteText"/>
        <w:spacing w:before="60"/>
        <w:jc w:val="both"/>
      </w:pPr>
      <w:r>
        <w:rPr>
          <w:rStyle w:val="FootnoteReference"/>
        </w:rPr>
        <w:footnoteRef/>
      </w:r>
      <w:r>
        <w:t xml:space="preserve"> </w:t>
      </w:r>
      <w:r>
        <w:rPr>
          <w:sz w:val="20"/>
        </w:rPr>
        <w:t xml:space="preserve">Nicole, </w:t>
      </w:r>
      <w:r>
        <w:rPr>
          <w:i/>
          <w:sz w:val="20"/>
        </w:rPr>
        <w:t xml:space="preserve">supra </w:t>
      </w:r>
      <w:r>
        <w:rPr>
          <w:sz w:val="20"/>
        </w:rPr>
        <w:t xml:space="preserve">note 14, at A185 (citing Pat </w:t>
      </w:r>
      <w:proofErr w:type="spellStart"/>
      <w:r>
        <w:rPr>
          <w:sz w:val="20"/>
        </w:rPr>
        <w:t>Stith</w:t>
      </w:r>
      <w:proofErr w:type="spellEnd"/>
      <w:r>
        <w:rPr>
          <w:sz w:val="20"/>
        </w:rPr>
        <w:t xml:space="preserve"> &amp; </w:t>
      </w:r>
      <w:proofErr w:type="spellStart"/>
      <w:r>
        <w:rPr>
          <w:sz w:val="20"/>
        </w:rPr>
        <w:t>Joby</w:t>
      </w:r>
      <w:proofErr w:type="spellEnd"/>
      <w:r>
        <w:rPr>
          <w:sz w:val="20"/>
        </w:rPr>
        <w:t xml:space="preserve"> Warrick</w:t>
      </w:r>
      <w:r w:rsidRPr="00D129FE">
        <w:rPr>
          <w:i/>
          <w:sz w:val="20"/>
        </w:rPr>
        <w:t xml:space="preserve">, </w:t>
      </w:r>
      <w:r>
        <w:rPr>
          <w:i/>
          <w:sz w:val="20"/>
        </w:rPr>
        <w:t>Murphy’s Laws: For Murphy, Good Government Means Good B</w:t>
      </w:r>
      <w:r w:rsidRPr="00D129FE">
        <w:rPr>
          <w:i/>
          <w:sz w:val="20"/>
        </w:rPr>
        <w:t>usiness</w:t>
      </w:r>
      <w:r w:rsidRPr="00D129FE">
        <w:rPr>
          <w:smallCaps/>
          <w:sz w:val="20"/>
          <w:szCs w:val="20"/>
        </w:rPr>
        <w:t>, Raleigh News &amp; Observer</w:t>
      </w:r>
      <w:r>
        <w:rPr>
          <w:sz w:val="20"/>
        </w:rPr>
        <w:t xml:space="preserve">, </w:t>
      </w:r>
      <w:r w:rsidRPr="00D129FE">
        <w:rPr>
          <w:sz w:val="20"/>
        </w:rPr>
        <w:t>Feb</w:t>
      </w:r>
      <w:r>
        <w:rPr>
          <w:sz w:val="20"/>
        </w:rPr>
        <w:t xml:space="preserve">. 22, 1995, </w:t>
      </w:r>
      <w:r w:rsidRPr="00D129FE">
        <w:rPr>
          <w:sz w:val="20"/>
        </w:rPr>
        <w:t>http://www.pulitzer.org/winners/news-observer-raleigh-nc-work-melanie-sill-pat-stith-and-joby-warrick</w:t>
      </w:r>
      <w:r>
        <w:rPr>
          <w:sz w:val="20"/>
        </w:rPr>
        <w:t xml:space="preserve">; Aaron M. </w:t>
      </w:r>
      <w:proofErr w:type="spellStart"/>
      <w:r>
        <w:rPr>
          <w:sz w:val="20"/>
        </w:rPr>
        <w:t>McKown</w:t>
      </w:r>
      <w:proofErr w:type="spellEnd"/>
      <w:r>
        <w:rPr>
          <w:sz w:val="20"/>
        </w:rPr>
        <w:t xml:space="preserve">, </w:t>
      </w:r>
      <w:r>
        <w:rPr>
          <w:i/>
          <w:sz w:val="20"/>
        </w:rPr>
        <w:t xml:space="preserve">Hog Farms and Nuisance Law in </w:t>
      </w:r>
      <w:r>
        <w:rPr>
          <w:sz w:val="20"/>
        </w:rPr>
        <w:t>Parker v. Barefoot</w:t>
      </w:r>
      <w:r>
        <w:rPr>
          <w:i/>
          <w:sz w:val="20"/>
        </w:rPr>
        <w:t>: Has North Carolina Become a Hog Heaven and Waste Lagoon</w:t>
      </w:r>
      <w:proofErr w:type="gramStart"/>
      <w:r>
        <w:rPr>
          <w:i/>
          <w:sz w:val="20"/>
        </w:rPr>
        <w:t>?</w:t>
      </w:r>
      <w:r>
        <w:rPr>
          <w:sz w:val="20"/>
        </w:rPr>
        <w:t>,</w:t>
      </w:r>
      <w:proofErr w:type="gramEnd"/>
      <w:r>
        <w:rPr>
          <w:sz w:val="20"/>
        </w:rPr>
        <w:t xml:space="preserve"> </w:t>
      </w:r>
      <w:r w:rsidRPr="00FB44B3">
        <w:rPr>
          <w:smallCaps/>
          <w:sz w:val="20"/>
          <w:szCs w:val="20"/>
        </w:rPr>
        <w:t>77 N.C. L. Rev.</w:t>
      </w:r>
      <w:r w:rsidRPr="00FB44B3">
        <w:rPr>
          <w:sz w:val="20"/>
        </w:rPr>
        <w:t xml:space="preserve"> 2355</w:t>
      </w:r>
      <w:r>
        <w:rPr>
          <w:sz w:val="20"/>
        </w:rPr>
        <w:t xml:space="preserve">, 2355 n.3 (1999)); Gray Jernigan, </w:t>
      </w:r>
      <w:r>
        <w:rPr>
          <w:i/>
          <w:sz w:val="20"/>
        </w:rPr>
        <w:t xml:space="preserve">What To Do When State Regulation </w:t>
      </w:r>
      <w:r w:rsidRPr="00185502">
        <w:rPr>
          <w:i/>
          <w:sz w:val="20"/>
        </w:rPr>
        <w:t>Stinks</w:t>
      </w:r>
      <w:r>
        <w:rPr>
          <w:sz w:val="20"/>
        </w:rPr>
        <w:t xml:space="preserve">, 11 </w:t>
      </w:r>
      <w:proofErr w:type="spellStart"/>
      <w:r w:rsidRPr="00185502">
        <w:rPr>
          <w:smallCaps/>
          <w:sz w:val="20"/>
          <w:szCs w:val="20"/>
        </w:rPr>
        <w:t>Waterkeeper</w:t>
      </w:r>
      <w:proofErr w:type="spellEnd"/>
      <w:r w:rsidRPr="00185502">
        <w:rPr>
          <w:smallCaps/>
          <w:sz w:val="20"/>
          <w:szCs w:val="20"/>
        </w:rPr>
        <w:t xml:space="preserve"> Magazine</w:t>
      </w:r>
      <w:r>
        <w:rPr>
          <w:sz w:val="20"/>
        </w:rPr>
        <w:t xml:space="preserve"> 33 (2015) (</w:t>
      </w:r>
      <w:r w:rsidRPr="00185502">
        <w:rPr>
          <w:sz w:val="20"/>
        </w:rPr>
        <w:t>http://waterkeeper.org/app/uploads/2016/01/WKMagSummer15r14-small1.pdf</w:t>
      </w:r>
      <w:r>
        <w:rPr>
          <w:sz w:val="20"/>
        </w:rPr>
        <w:t>).</w:t>
      </w:r>
    </w:p>
  </w:footnote>
  <w:footnote w:id="85">
    <w:p w14:paraId="0E8DAE31" w14:textId="3BA4D54E" w:rsidR="0084636B" w:rsidRPr="00006503" w:rsidRDefault="0084636B" w:rsidP="006D752A">
      <w:pPr>
        <w:pStyle w:val="FootnoteText"/>
        <w:spacing w:before="60"/>
        <w:rPr>
          <w:sz w:val="20"/>
        </w:rPr>
      </w:pPr>
      <w:r>
        <w:rPr>
          <w:rStyle w:val="FootnoteReference"/>
        </w:rPr>
        <w:footnoteRef/>
      </w:r>
      <w:r>
        <w:t xml:space="preserve"> </w:t>
      </w:r>
      <w:r>
        <w:rPr>
          <w:sz w:val="20"/>
        </w:rPr>
        <w:t>Clean Air Act, 42 U.S.C. §§ 7401–7671q (2016).</w:t>
      </w:r>
    </w:p>
  </w:footnote>
  <w:footnote w:id="86">
    <w:p w14:paraId="79431EBF" w14:textId="77777777" w:rsidR="0084636B" w:rsidRPr="00B47F7B" w:rsidRDefault="0084636B" w:rsidP="00747107">
      <w:pPr>
        <w:pStyle w:val="FootnoteText"/>
        <w:spacing w:before="60"/>
        <w:jc w:val="both"/>
        <w:rPr>
          <w:sz w:val="20"/>
        </w:rPr>
      </w:pPr>
      <w:r>
        <w:rPr>
          <w:rStyle w:val="FootnoteReference"/>
        </w:rPr>
        <w:footnoteRef/>
      </w:r>
      <w:r>
        <w:t xml:space="preserve"> </w:t>
      </w:r>
      <w:r w:rsidRPr="00B47F7B">
        <w:rPr>
          <w:sz w:val="20"/>
        </w:rPr>
        <w:t>Federal Water Pollution Control Act, 33 U.S.C. §§ 1251–1</w:t>
      </w:r>
      <w:r>
        <w:rPr>
          <w:sz w:val="20"/>
        </w:rPr>
        <w:t>387 (2016</w:t>
      </w:r>
      <w:r w:rsidRPr="00B47F7B">
        <w:rPr>
          <w:sz w:val="20"/>
        </w:rPr>
        <w:t>).</w:t>
      </w:r>
      <w:r>
        <w:rPr>
          <w:sz w:val="20"/>
        </w:rPr>
        <w:t xml:space="preserve"> </w:t>
      </w:r>
      <w:r w:rsidRPr="00B47F7B">
        <w:rPr>
          <w:sz w:val="20"/>
        </w:rPr>
        <w:t>The legislation came to be known as the Clean Water Act following the 1972 amendments to the Federal Water</w:t>
      </w:r>
      <w:r>
        <w:rPr>
          <w:sz w:val="20"/>
        </w:rPr>
        <w:t xml:space="preserve"> </w:t>
      </w:r>
      <w:r w:rsidRPr="00B47F7B">
        <w:rPr>
          <w:sz w:val="20"/>
        </w:rPr>
        <w:t xml:space="preserve">Pollution Control Act of 1948. </w:t>
      </w:r>
      <w:r w:rsidRPr="00CD7882">
        <w:rPr>
          <w:i/>
          <w:sz w:val="20"/>
        </w:rPr>
        <w:t>History of the Clean Water Act</w:t>
      </w:r>
      <w:r w:rsidRPr="00CD7882">
        <w:rPr>
          <w:sz w:val="20"/>
        </w:rPr>
        <w:t>, EPA</w:t>
      </w:r>
      <w:r>
        <w:rPr>
          <w:sz w:val="20"/>
        </w:rPr>
        <w:t xml:space="preserve"> (last visited Apr. 8, 2017</w:t>
      </w:r>
      <w:r w:rsidRPr="00B47F7B">
        <w:rPr>
          <w:sz w:val="20"/>
        </w:rPr>
        <w:t>)</w:t>
      </w:r>
      <w:r>
        <w:rPr>
          <w:sz w:val="20"/>
        </w:rPr>
        <w:t xml:space="preserve"> </w:t>
      </w:r>
      <w:r w:rsidRPr="00B47F7B">
        <w:rPr>
          <w:sz w:val="20"/>
        </w:rPr>
        <w:t>https://www.epa.gov/laws-regulations/history-clean-water-act.</w:t>
      </w:r>
    </w:p>
  </w:footnote>
  <w:footnote w:id="87">
    <w:p w14:paraId="1C2A6B96" w14:textId="4A46EFE2" w:rsidR="0084636B" w:rsidRDefault="0084636B" w:rsidP="00381353">
      <w:pPr>
        <w:pStyle w:val="FootnoteText"/>
        <w:spacing w:before="60"/>
        <w:jc w:val="both"/>
      </w:pPr>
      <w:r>
        <w:rPr>
          <w:rStyle w:val="FootnoteReference"/>
        </w:rPr>
        <w:footnoteRef/>
      </w:r>
      <w:r>
        <w:t xml:space="preserve"> </w:t>
      </w:r>
      <w:r>
        <w:rPr>
          <w:sz w:val="20"/>
          <w:szCs w:val="20"/>
        </w:rPr>
        <w:t xml:space="preserve">J. B. </w:t>
      </w:r>
      <w:proofErr w:type="spellStart"/>
      <w:r>
        <w:rPr>
          <w:sz w:val="20"/>
          <w:szCs w:val="20"/>
        </w:rPr>
        <w:t>Ruhl</w:t>
      </w:r>
      <w:proofErr w:type="spellEnd"/>
      <w:r>
        <w:rPr>
          <w:sz w:val="20"/>
          <w:szCs w:val="20"/>
        </w:rPr>
        <w:t xml:space="preserve">, </w:t>
      </w:r>
      <w:r w:rsidRPr="00381353">
        <w:rPr>
          <w:i/>
          <w:sz w:val="20"/>
          <w:szCs w:val="20"/>
        </w:rPr>
        <w:t>Farms, Their Environmental Harms, and Environmental Law</w:t>
      </w:r>
      <w:r w:rsidRPr="00381353">
        <w:rPr>
          <w:smallCaps/>
          <w:sz w:val="20"/>
          <w:szCs w:val="20"/>
        </w:rPr>
        <w:t xml:space="preserve">, </w:t>
      </w:r>
      <w:proofErr w:type="gramStart"/>
      <w:r>
        <w:rPr>
          <w:smallCaps/>
          <w:sz w:val="20"/>
          <w:szCs w:val="20"/>
        </w:rPr>
        <w:t>27 Ecology L. Q.</w:t>
      </w:r>
      <w:r>
        <w:rPr>
          <w:sz w:val="20"/>
          <w:szCs w:val="20"/>
        </w:rPr>
        <w:t xml:space="preserve"> 265, 265</w:t>
      </w:r>
      <w:proofErr w:type="gramEnd"/>
      <w:r>
        <w:rPr>
          <w:sz w:val="20"/>
          <w:szCs w:val="20"/>
        </w:rPr>
        <w:t xml:space="preserve"> (2000).</w:t>
      </w:r>
    </w:p>
  </w:footnote>
  <w:footnote w:id="88">
    <w:p w14:paraId="26128E58" w14:textId="2D80D94A" w:rsidR="0084636B" w:rsidRPr="00BF11FE" w:rsidRDefault="0084636B" w:rsidP="00BF11FE">
      <w:pPr>
        <w:pStyle w:val="FootnoteText"/>
        <w:spacing w:before="60"/>
        <w:jc w:val="both"/>
        <w:rPr>
          <w:sz w:val="20"/>
        </w:rPr>
      </w:pPr>
      <w:r>
        <w:rPr>
          <w:rStyle w:val="FootnoteReference"/>
        </w:rPr>
        <w:footnoteRef/>
      </w:r>
      <w:r>
        <w:t xml:space="preserve"> </w:t>
      </w:r>
      <w:proofErr w:type="gramStart"/>
      <w:r w:rsidRPr="00AA2A29">
        <w:rPr>
          <w:sz w:val="20"/>
          <w:szCs w:val="20"/>
        </w:rPr>
        <w:t>33 U.S.C.</w:t>
      </w:r>
      <w:r>
        <w:t xml:space="preserve"> </w:t>
      </w:r>
      <w:r>
        <w:rPr>
          <w:sz w:val="20"/>
        </w:rPr>
        <w:t>§ 1251(a) (2016</w:t>
      </w:r>
      <w:r w:rsidRPr="00B47F7B">
        <w:rPr>
          <w:sz w:val="20"/>
        </w:rPr>
        <w:t>).</w:t>
      </w:r>
      <w:proofErr w:type="gramEnd"/>
      <w:r>
        <w:rPr>
          <w:sz w:val="20"/>
        </w:rPr>
        <w:t xml:space="preserve"> “The term ‘navigable waters’ </w:t>
      </w:r>
      <w:r w:rsidRPr="00BF11FE">
        <w:rPr>
          <w:sz w:val="20"/>
        </w:rPr>
        <w:t>means the waters of the United States, including t</w:t>
      </w:r>
      <w:r>
        <w:rPr>
          <w:sz w:val="20"/>
        </w:rPr>
        <w:t xml:space="preserve">he territorial seas.” </w:t>
      </w:r>
      <w:r w:rsidRPr="00BF11FE">
        <w:rPr>
          <w:sz w:val="20"/>
        </w:rPr>
        <w:t>§</w:t>
      </w:r>
      <w:r>
        <w:rPr>
          <w:sz w:val="20"/>
        </w:rPr>
        <w:t xml:space="preserve"> 1362(7).</w:t>
      </w:r>
    </w:p>
  </w:footnote>
  <w:footnote w:id="89">
    <w:p w14:paraId="42AE25DC" w14:textId="07FC7337" w:rsidR="0084636B" w:rsidRDefault="0084636B" w:rsidP="005D7C5D">
      <w:pPr>
        <w:pStyle w:val="FootnoteText"/>
        <w:spacing w:before="60"/>
        <w:jc w:val="both"/>
      </w:pPr>
      <w:r>
        <w:rPr>
          <w:rStyle w:val="FootnoteReference"/>
        </w:rPr>
        <w:footnoteRef/>
      </w:r>
      <w:r>
        <w:t xml:space="preserve"> </w:t>
      </w:r>
      <w:r w:rsidRPr="00494D89">
        <w:rPr>
          <w:smallCaps/>
          <w:sz w:val="20"/>
          <w:szCs w:val="20"/>
        </w:rPr>
        <w:t xml:space="preserve">David M. Bearden et al, Cong. Research Serv., RL 30798, </w:t>
      </w:r>
      <w:proofErr w:type="gramStart"/>
      <w:r w:rsidRPr="00494D89">
        <w:rPr>
          <w:smallCaps/>
          <w:sz w:val="20"/>
          <w:szCs w:val="20"/>
        </w:rPr>
        <w:t>Environmental</w:t>
      </w:r>
      <w:proofErr w:type="gramEnd"/>
      <w:r w:rsidRPr="00494D89">
        <w:rPr>
          <w:smallCaps/>
          <w:sz w:val="20"/>
          <w:szCs w:val="20"/>
        </w:rPr>
        <w:t xml:space="preserve"> Laws: Summaries of Major Statutes Administered by the Environmental Protection Agency</w:t>
      </w:r>
      <w:r>
        <w:rPr>
          <w:smallCaps/>
          <w:sz w:val="20"/>
          <w:szCs w:val="20"/>
        </w:rPr>
        <w:t xml:space="preserve"> </w:t>
      </w:r>
      <w:r>
        <w:rPr>
          <w:sz w:val="20"/>
          <w:szCs w:val="20"/>
        </w:rPr>
        <w:t>S</w:t>
      </w:r>
      <w:r w:rsidRPr="00927E40">
        <w:rPr>
          <w:sz w:val="20"/>
          <w:szCs w:val="20"/>
        </w:rPr>
        <w:t>ummary</w:t>
      </w:r>
      <w:r w:rsidRPr="00494D89">
        <w:rPr>
          <w:sz w:val="20"/>
        </w:rPr>
        <w:t xml:space="preserve"> (2013).  </w:t>
      </w:r>
    </w:p>
  </w:footnote>
  <w:footnote w:id="90">
    <w:p w14:paraId="41251751" w14:textId="0F89E6C3" w:rsidR="0084636B" w:rsidRDefault="0084636B" w:rsidP="005D7C5D">
      <w:pPr>
        <w:pStyle w:val="FootnoteText"/>
        <w:spacing w:before="60"/>
        <w:jc w:val="both"/>
      </w:pPr>
      <w:r>
        <w:rPr>
          <w:rStyle w:val="FootnoteReference"/>
        </w:rPr>
        <w:footnoteRef/>
      </w:r>
      <w:r>
        <w:t xml:space="preserve"> </w:t>
      </w:r>
      <w:r>
        <w:rPr>
          <w:sz w:val="20"/>
        </w:rPr>
        <w:t>§ 1342</w:t>
      </w:r>
      <w:r w:rsidRPr="00B47F7B">
        <w:rPr>
          <w:sz w:val="20"/>
        </w:rPr>
        <w:t>.</w:t>
      </w:r>
    </w:p>
  </w:footnote>
  <w:footnote w:id="91">
    <w:p w14:paraId="646026E7" w14:textId="52F5EB96" w:rsidR="0084636B" w:rsidRDefault="0084636B" w:rsidP="005D7C5D">
      <w:pPr>
        <w:pStyle w:val="FootnoteText"/>
        <w:spacing w:before="60"/>
        <w:jc w:val="both"/>
      </w:pPr>
      <w:r>
        <w:rPr>
          <w:rStyle w:val="FootnoteReference"/>
        </w:rPr>
        <w:footnoteRef/>
      </w:r>
      <w:r>
        <w:t xml:space="preserve"> </w:t>
      </w:r>
      <w:r>
        <w:rPr>
          <w:sz w:val="20"/>
        </w:rPr>
        <w:t>§ 1311</w:t>
      </w:r>
      <w:r w:rsidRPr="00B47F7B">
        <w:rPr>
          <w:sz w:val="20"/>
        </w:rPr>
        <w:t>.</w:t>
      </w:r>
    </w:p>
  </w:footnote>
  <w:footnote w:id="92">
    <w:p w14:paraId="3103626B" w14:textId="015A194F" w:rsidR="0084636B" w:rsidRDefault="0084636B" w:rsidP="006B29D4">
      <w:pPr>
        <w:pStyle w:val="FootnoteText"/>
        <w:spacing w:before="60"/>
        <w:jc w:val="both"/>
      </w:pPr>
      <w:r>
        <w:rPr>
          <w:rStyle w:val="FootnoteReference"/>
        </w:rPr>
        <w:footnoteRef/>
      </w:r>
      <w:r>
        <w:t xml:space="preserve"> </w:t>
      </w:r>
      <w:r w:rsidRPr="006B29D4">
        <w:rPr>
          <w:sz w:val="20"/>
          <w:szCs w:val="20"/>
        </w:rPr>
        <w:t xml:space="preserve">“The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t>
      </w:r>
      <w:proofErr w:type="gramStart"/>
      <w:r w:rsidRPr="006B29D4">
        <w:rPr>
          <w:sz w:val="20"/>
          <w:szCs w:val="20"/>
        </w:rPr>
        <w:t>water.</w:t>
      </w:r>
      <w:proofErr w:type="gramEnd"/>
      <w:r w:rsidRPr="006B29D4">
        <w:rPr>
          <w:sz w:val="20"/>
          <w:szCs w:val="20"/>
        </w:rPr>
        <w:t xml:space="preserve"> . . .” </w:t>
      </w:r>
      <w:r>
        <w:rPr>
          <w:sz w:val="20"/>
          <w:szCs w:val="20"/>
        </w:rPr>
        <w:t>§ 1362(6).</w:t>
      </w:r>
    </w:p>
  </w:footnote>
  <w:footnote w:id="93">
    <w:p w14:paraId="6605FCBC" w14:textId="040D99CE" w:rsidR="0084636B" w:rsidRPr="00BF11FE" w:rsidRDefault="0084636B" w:rsidP="006B29D4">
      <w:pPr>
        <w:pStyle w:val="FootnoteText"/>
        <w:spacing w:before="60"/>
        <w:jc w:val="both"/>
        <w:rPr>
          <w:sz w:val="20"/>
          <w:szCs w:val="20"/>
        </w:rPr>
      </w:pPr>
      <w:r>
        <w:rPr>
          <w:rStyle w:val="FootnoteReference"/>
        </w:rPr>
        <w:footnoteRef/>
      </w:r>
      <w:r>
        <w:t xml:space="preserve"> </w:t>
      </w:r>
      <w:r w:rsidRPr="00BF11FE">
        <w:t xml:space="preserve"> </w:t>
      </w:r>
      <w:r>
        <w:rPr>
          <w:sz w:val="20"/>
          <w:szCs w:val="20"/>
        </w:rPr>
        <w:t>A “point source” is</w:t>
      </w:r>
      <w:r w:rsidRPr="00BF11FE">
        <w:rPr>
          <w:sz w:val="20"/>
          <w:szCs w:val="20"/>
        </w:rPr>
        <w:t xml:space="preserve"> </w:t>
      </w:r>
      <w:r>
        <w:rPr>
          <w:sz w:val="20"/>
          <w:szCs w:val="20"/>
        </w:rPr>
        <w:t>“</w:t>
      </w:r>
      <w:r w:rsidRPr="00BF11FE">
        <w:rPr>
          <w:sz w:val="20"/>
          <w:szCs w:val="20"/>
        </w:rPr>
        <w:t>any discernible, confined and discrete conveyance, i</w:t>
      </w:r>
      <w:r>
        <w:rPr>
          <w:sz w:val="20"/>
          <w:szCs w:val="20"/>
        </w:rPr>
        <w:t xml:space="preserve">ncluding but not limited to any </w:t>
      </w:r>
      <w:r w:rsidRPr="00BF11FE">
        <w:rPr>
          <w:sz w:val="20"/>
          <w:szCs w:val="20"/>
        </w:rPr>
        <w:t>pipe, ditch, channel, tunnel, conduit, well, discrete fissure, container, rolling stock, concentrated animal feeding</w:t>
      </w:r>
      <w:r>
        <w:rPr>
          <w:sz w:val="20"/>
          <w:szCs w:val="20"/>
        </w:rPr>
        <w:t xml:space="preserve"> </w:t>
      </w:r>
      <w:r w:rsidRPr="00BF11FE">
        <w:rPr>
          <w:sz w:val="20"/>
          <w:szCs w:val="20"/>
        </w:rPr>
        <w:t>operation, or vessel or other floating craft, from which pollutants are or may be discharged. This term does not</w:t>
      </w:r>
      <w:r>
        <w:rPr>
          <w:sz w:val="20"/>
          <w:szCs w:val="20"/>
        </w:rPr>
        <w:t xml:space="preserve"> </w:t>
      </w:r>
      <w:r w:rsidRPr="00BF11FE">
        <w:rPr>
          <w:sz w:val="20"/>
          <w:szCs w:val="20"/>
        </w:rPr>
        <w:t xml:space="preserve">include agricultural </w:t>
      </w:r>
      <w:proofErr w:type="spellStart"/>
      <w:r w:rsidRPr="00BF11FE">
        <w:rPr>
          <w:sz w:val="20"/>
          <w:szCs w:val="20"/>
        </w:rPr>
        <w:t>stormwater</w:t>
      </w:r>
      <w:proofErr w:type="spellEnd"/>
      <w:r w:rsidRPr="00BF11FE">
        <w:rPr>
          <w:sz w:val="20"/>
          <w:szCs w:val="20"/>
        </w:rPr>
        <w:t xml:space="preserve"> discharges and return flows from irrigated agriculture</w:t>
      </w:r>
      <w:r>
        <w:rPr>
          <w:sz w:val="20"/>
          <w:szCs w:val="20"/>
        </w:rPr>
        <w:t xml:space="preserve">.” </w:t>
      </w:r>
      <w:r w:rsidRPr="00BF11FE">
        <w:rPr>
          <w:sz w:val="20"/>
          <w:szCs w:val="20"/>
        </w:rPr>
        <w:t>§</w:t>
      </w:r>
      <w:r>
        <w:rPr>
          <w:sz w:val="20"/>
          <w:szCs w:val="20"/>
        </w:rPr>
        <w:t xml:space="preserve"> 1362(14)</w:t>
      </w:r>
      <w:r w:rsidRPr="00BF11FE">
        <w:rPr>
          <w:sz w:val="20"/>
          <w:szCs w:val="20"/>
        </w:rPr>
        <w:t>.</w:t>
      </w:r>
      <w:r>
        <w:rPr>
          <w:sz w:val="20"/>
          <w:szCs w:val="20"/>
        </w:rPr>
        <w:t xml:space="preserve"> </w:t>
      </w:r>
      <w:proofErr w:type="gramStart"/>
      <w:r>
        <w:rPr>
          <w:sz w:val="20"/>
          <w:szCs w:val="20"/>
        </w:rPr>
        <w:t>Nonpoint sources are governed by state water quality programs</w:t>
      </w:r>
      <w:proofErr w:type="gramEnd"/>
      <w:r>
        <w:rPr>
          <w:sz w:val="20"/>
          <w:szCs w:val="20"/>
        </w:rPr>
        <w:t xml:space="preserve">. </w:t>
      </w:r>
      <w:r w:rsidRPr="002463BD">
        <w:rPr>
          <w:sz w:val="20"/>
          <w:szCs w:val="20"/>
        </w:rPr>
        <w:t>40 C.F.R. § 122 (2012)</w:t>
      </w:r>
      <w:r>
        <w:rPr>
          <w:sz w:val="20"/>
          <w:szCs w:val="20"/>
        </w:rPr>
        <w:t xml:space="preserve">; </w:t>
      </w:r>
      <w:r w:rsidRPr="007C4719">
        <w:rPr>
          <w:smallCaps/>
          <w:sz w:val="20"/>
          <w:szCs w:val="20"/>
        </w:rPr>
        <w:t xml:space="preserve">Claudia Copeland, Cong. Research Serv., RL 32947, Air Quality Issues and Animal Agriculture: </w:t>
      </w:r>
      <w:r>
        <w:rPr>
          <w:smallCaps/>
          <w:sz w:val="20"/>
          <w:szCs w:val="20"/>
        </w:rPr>
        <w:t>A Primer</w:t>
      </w:r>
      <w:r w:rsidRPr="007C4719">
        <w:rPr>
          <w:smallCaps/>
          <w:sz w:val="20"/>
          <w:szCs w:val="20"/>
        </w:rPr>
        <w:t xml:space="preserve"> </w:t>
      </w:r>
      <w:r>
        <w:rPr>
          <w:smallCaps/>
          <w:sz w:val="20"/>
          <w:szCs w:val="20"/>
        </w:rPr>
        <w:t xml:space="preserve">8 </w:t>
      </w:r>
      <w:r w:rsidRPr="007C4719">
        <w:rPr>
          <w:sz w:val="20"/>
          <w:szCs w:val="20"/>
        </w:rPr>
        <w:t>(2014)</w:t>
      </w:r>
      <w:r>
        <w:rPr>
          <w:sz w:val="20"/>
          <w:szCs w:val="20"/>
        </w:rPr>
        <w:t xml:space="preserve">, </w:t>
      </w:r>
      <w:r w:rsidRPr="00424191">
        <w:rPr>
          <w:sz w:val="20"/>
          <w:szCs w:val="20"/>
        </w:rPr>
        <w:t>http://nationalaglawcenter.org/wp-content/uploads/assets/crs/RL32948.pdf</w:t>
      </w:r>
      <w:r w:rsidRPr="007C4719">
        <w:rPr>
          <w:sz w:val="20"/>
          <w:szCs w:val="20"/>
        </w:rPr>
        <w:t xml:space="preserve">.  </w:t>
      </w:r>
    </w:p>
  </w:footnote>
  <w:footnote w:id="94">
    <w:p w14:paraId="1F583F4B" w14:textId="321F034A" w:rsidR="0084636B" w:rsidRPr="00AA2A29" w:rsidRDefault="0084636B" w:rsidP="0096785D">
      <w:pPr>
        <w:pStyle w:val="FootnoteText"/>
        <w:spacing w:before="60"/>
        <w:jc w:val="both"/>
      </w:pPr>
      <w:r>
        <w:rPr>
          <w:rStyle w:val="FootnoteReference"/>
        </w:rPr>
        <w:footnoteRef/>
      </w:r>
      <w:r>
        <w:t xml:space="preserve"> </w:t>
      </w:r>
      <w:r w:rsidRPr="0096785D">
        <w:rPr>
          <w:sz w:val="20"/>
          <w:szCs w:val="20"/>
        </w:rPr>
        <w:t xml:space="preserve">Bearden, </w:t>
      </w:r>
      <w:r w:rsidRPr="0096785D">
        <w:rPr>
          <w:i/>
          <w:sz w:val="20"/>
          <w:szCs w:val="20"/>
        </w:rPr>
        <w:t xml:space="preserve">supra </w:t>
      </w:r>
      <w:r>
        <w:rPr>
          <w:sz w:val="20"/>
          <w:szCs w:val="20"/>
        </w:rPr>
        <w:t>note 89</w:t>
      </w:r>
      <w:r w:rsidRPr="0096785D">
        <w:rPr>
          <w:sz w:val="20"/>
          <w:szCs w:val="20"/>
        </w:rPr>
        <w:t>, at 29 (discussing § 1342(a)).</w:t>
      </w:r>
    </w:p>
  </w:footnote>
  <w:footnote w:id="95">
    <w:p w14:paraId="64FA8252" w14:textId="0EFCADC9" w:rsidR="0084636B" w:rsidRDefault="0084636B" w:rsidP="00030098">
      <w:pPr>
        <w:pStyle w:val="FootnoteText"/>
        <w:spacing w:before="60"/>
      </w:pPr>
      <w:r>
        <w:rPr>
          <w:rStyle w:val="FootnoteReference"/>
        </w:rPr>
        <w:footnoteRef/>
      </w:r>
      <w:r>
        <w:t xml:space="preserve"> </w:t>
      </w:r>
      <w:r w:rsidRPr="002463BD">
        <w:rPr>
          <w:sz w:val="20"/>
          <w:szCs w:val="20"/>
        </w:rPr>
        <w:t>40 C.F.R. § 122 (2012)</w:t>
      </w:r>
      <w:r>
        <w:rPr>
          <w:sz w:val="20"/>
          <w:szCs w:val="20"/>
        </w:rPr>
        <w:t xml:space="preserve">; Copeland, </w:t>
      </w:r>
      <w:r>
        <w:rPr>
          <w:i/>
          <w:sz w:val="20"/>
          <w:szCs w:val="20"/>
        </w:rPr>
        <w:t xml:space="preserve">supra </w:t>
      </w:r>
      <w:r>
        <w:rPr>
          <w:sz w:val="20"/>
          <w:szCs w:val="20"/>
        </w:rPr>
        <w:t xml:space="preserve">note 93, at 8. </w:t>
      </w:r>
      <w:r w:rsidRPr="007C4719">
        <w:rPr>
          <w:sz w:val="20"/>
          <w:szCs w:val="20"/>
        </w:rPr>
        <w:t xml:space="preserve"> </w:t>
      </w:r>
    </w:p>
  </w:footnote>
  <w:footnote w:id="96">
    <w:p w14:paraId="1125B217" w14:textId="38B1D067" w:rsidR="0084636B" w:rsidRPr="00A835C3" w:rsidRDefault="0084636B" w:rsidP="00A835C3">
      <w:pPr>
        <w:pStyle w:val="FootnoteText"/>
        <w:spacing w:before="60"/>
        <w:jc w:val="both"/>
        <w:rPr>
          <w:i/>
        </w:rPr>
      </w:pPr>
      <w:r>
        <w:rPr>
          <w:rStyle w:val="FootnoteReference"/>
        </w:rPr>
        <w:footnoteRef/>
      </w:r>
      <w:r>
        <w:t xml:space="preserve"> </w:t>
      </w:r>
      <w:r>
        <w:rPr>
          <w:sz w:val="20"/>
          <w:szCs w:val="20"/>
        </w:rPr>
        <w:t xml:space="preserve">Copeland, </w:t>
      </w:r>
      <w:r>
        <w:rPr>
          <w:i/>
          <w:sz w:val="20"/>
          <w:szCs w:val="20"/>
        </w:rPr>
        <w:t xml:space="preserve">supra </w:t>
      </w:r>
      <w:r>
        <w:rPr>
          <w:sz w:val="20"/>
          <w:szCs w:val="20"/>
        </w:rPr>
        <w:t xml:space="preserve">note 93, at 8. </w:t>
      </w:r>
      <w:r w:rsidRPr="007C4719">
        <w:rPr>
          <w:sz w:val="20"/>
          <w:szCs w:val="20"/>
        </w:rPr>
        <w:t xml:space="preserve"> </w:t>
      </w:r>
    </w:p>
  </w:footnote>
  <w:footnote w:id="97">
    <w:p w14:paraId="00A0773C" w14:textId="7F1EAC5F" w:rsidR="0084636B" w:rsidRPr="00EA06DD" w:rsidRDefault="0084636B" w:rsidP="00A835C3">
      <w:pPr>
        <w:pStyle w:val="FootnoteText"/>
        <w:spacing w:before="60"/>
        <w:jc w:val="both"/>
        <w:rPr>
          <w:i/>
          <w:sz w:val="20"/>
          <w:szCs w:val="20"/>
        </w:rPr>
      </w:pPr>
      <w:r>
        <w:rPr>
          <w:rStyle w:val="FootnoteReference"/>
        </w:rPr>
        <w:footnoteRef/>
      </w:r>
      <w:r>
        <w:t xml:space="preserve"> </w:t>
      </w:r>
      <w:r w:rsidRPr="00EA06DD">
        <w:rPr>
          <w:i/>
          <w:sz w:val="20"/>
          <w:szCs w:val="20"/>
        </w:rPr>
        <w:t>Id.</w:t>
      </w:r>
      <w:r>
        <w:rPr>
          <w:i/>
          <w:sz w:val="20"/>
          <w:szCs w:val="20"/>
        </w:rPr>
        <w:t xml:space="preserve"> </w:t>
      </w:r>
      <w:r>
        <w:rPr>
          <w:sz w:val="20"/>
          <w:szCs w:val="20"/>
        </w:rPr>
        <w:t>(a</w:t>
      </w:r>
      <w:r w:rsidRPr="00EA06DD">
        <w:rPr>
          <w:sz w:val="20"/>
          <w:szCs w:val="20"/>
        </w:rPr>
        <w:t>bout 15,3</w:t>
      </w:r>
      <w:r>
        <w:rPr>
          <w:sz w:val="20"/>
          <w:szCs w:val="20"/>
        </w:rPr>
        <w:t>00 CAFOs are covered nationwide).</w:t>
      </w:r>
    </w:p>
  </w:footnote>
  <w:footnote w:id="98">
    <w:p w14:paraId="33E1359D" w14:textId="024DFA3A" w:rsidR="0084636B" w:rsidRPr="00CC317E" w:rsidRDefault="0084636B" w:rsidP="00030098">
      <w:pPr>
        <w:pStyle w:val="FootnoteText"/>
        <w:spacing w:before="60"/>
        <w:jc w:val="both"/>
      </w:pPr>
      <w:r>
        <w:rPr>
          <w:rStyle w:val="FootnoteReference"/>
        </w:rPr>
        <w:footnoteRef/>
      </w:r>
      <w:r>
        <w:t xml:space="preserve"> </w:t>
      </w:r>
      <w:r w:rsidRPr="00CC317E">
        <w:rPr>
          <w:sz w:val="20"/>
          <w:szCs w:val="20"/>
        </w:rPr>
        <w:t xml:space="preserve">Adam Scott </w:t>
      </w:r>
      <w:proofErr w:type="spellStart"/>
      <w:r w:rsidRPr="00CC317E">
        <w:rPr>
          <w:sz w:val="20"/>
          <w:szCs w:val="20"/>
        </w:rPr>
        <w:t>Carlesco</w:t>
      </w:r>
      <w:proofErr w:type="spellEnd"/>
      <w:r w:rsidRPr="00CC317E">
        <w:rPr>
          <w:sz w:val="20"/>
          <w:szCs w:val="20"/>
        </w:rPr>
        <w:t xml:space="preserve">, </w:t>
      </w:r>
      <w:r w:rsidRPr="00CC317E">
        <w:rPr>
          <w:i/>
          <w:sz w:val="20"/>
          <w:szCs w:val="20"/>
        </w:rPr>
        <w:t>The Sidestepping of National Pollution Discharge Elimination System Permitting Requirements by Concentrated Animal Feeding Operations</w:t>
      </w:r>
      <w:r w:rsidRPr="00CC317E">
        <w:rPr>
          <w:sz w:val="20"/>
          <w:szCs w:val="20"/>
        </w:rPr>
        <w:t xml:space="preserve">, 5 </w:t>
      </w:r>
      <w:r w:rsidRPr="00CC317E">
        <w:rPr>
          <w:smallCaps/>
          <w:sz w:val="20"/>
          <w:szCs w:val="20"/>
        </w:rPr>
        <w:t xml:space="preserve">J. Animal &amp; </w:t>
      </w:r>
      <w:proofErr w:type="spellStart"/>
      <w:r w:rsidRPr="00CC317E">
        <w:rPr>
          <w:smallCaps/>
          <w:sz w:val="20"/>
          <w:szCs w:val="20"/>
        </w:rPr>
        <w:t>Envtl</w:t>
      </w:r>
      <w:proofErr w:type="spellEnd"/>
      <w:r w:rsidRPr="00CC317E">
        <w:rPr>
          <w:smallCaps/>
          <w:sz w:val="20"/>
          <w:szCs w:val="20"/>
        </w:rPr>
        <w:t>. L.</w:t>
      </w:r>
      <w:r w:rsidRPr="00CC317E">
        <w:rPr>
          <w:sz w:val="20"/>
          <w:szCs w:val="20"/>
        </w:rPr>
        <w:t xml:space="preserve"> 43, 48 (2013-2014) (citing 33 U.S.C. §§ 1362(14); 1342(l)(1); </w:t>
      </w:r>
      <w:r w:rsidRPr="00CC317E">
        <w:rPr>
          <w:i/>
          <w:sz w:val="20"/>
          <w:szCs w:val="20"/>
        </w:rPr>
        <w:t xml:space="preserve">see </w:t>
      </w:r>
      <w:r w:rsidRPr="00CC317E">
        <w:rPr>
          <w:sz w:val="20"/>
          <w:szCs w:val="20"/>
        </w:rPr>
        <w:t xml:space="preserve">Copeland, </w:t>
      </w:r>
      <w:r w:rsidRPr="00CC317E">
        <w:rPr>
          <w:i/>
          <w:sz w:val="20"/>
          <w:szCs w:val="20"/>
        </w:rPr>
        <w:t xml:space="preserve">supra </w:t>
      </w:r>
      <w:r>
        <w:rPr>
          <w:sz w:val="20"/>
          <w:szCs w:val="20"/>
        </w:rPr>
        <w:t>note 93</w:t>
      </w:r>
      <w:r w:rsidRPr="00CC317E">
        <w:rPr>
          <w:sz w:val="20"/>
          <w:szCs w:val="20"/>
        </w:rPr>
        <w:t xml:space="preserve">, at 8 (“The rule contains a performance standard which prohibits discharges from regulated CAFOs </w:t>
      </w:r>
      <w:r w:rsidRPr="00CC317E">
        <w:rPr>
          <w:i/>
          <w:sz w:val="20"/>
          <w:szCs w:val="20"/>
        </w:rPr>
        <w:t>except in the event of wastewater or manure overflows or runoff from an exceptional 25-year, 24-hour rainfall event</w:t>
      </w:r>
      <w:r w:rsidRPr="00CC317E">
        <w:rPr>
          <w:sz w:val="20"/>
          <w:szCs w:val="20"/>
        </w:rPr>
        <w:t>.”) (</w:t>
      </w:r>
      <w:proofErr w:type="gramStart"/>
      <w:r w:rsidRPr="00CC317E">
        <w:rPr>
          <w:sz w:val="20"/>
          <w:szCs w:val="20"/>
        </w:rPr>
        <w:t>emphasis</w:t>
      </w:r>
      <w:proofErr w:type="gramEnd"/>
      <w:r w:rsidRPr="00CC317E">
        <w:rPr>
          <w:sz w:val="20"/>
          <w:szCs w:val="20"/>
        </w:rPr>
        <w:t xml:space="preserve"> added). </w:t>
      </w:r>
      <w:r w:rsidRPr="00CC317E">
        <w:rPr>
          <w:i/>
          <w:sz w:val="20"/>
          <w:szCs w:val="20"/>
        </w:rPr>
        <w:t xml:space="preserve">See </w:t>
      </w:r>
      <w:r w:rsidRPr="00CC317E">
        <w:rPr>
          <w:sz w:val="20"/>
          <w:szCs w:val="20"/>
        </w:rPr>
        <w:t xml:space="preserve">Wilson, </w:t>
      </w:r>
      <w:r w:rsidRPr="00CC317E">
        <w:rPr>
          <w:i/>
          <w:sz w:val="20"/>
          <w:szCs w:val="20"/>
        </w:rPr>
        <w:t xml:space="preserve">supra </w:t>
      </w:r>
      <w:r w:rsidRPr="00CC317E">
        <w:rPr>
          <w:sz w:val="20"/>
          <w:szCs w:val="20"/>
        </w:rPr>
        <w:t>not</w:t>
      </w:r>
      <w:r>
        <w:rPr>
          <w:sz w:val="20"/>
          <w:szCs w:val="20"/>
        </w:rPr>
        <w:t>e 63</w:t>
      </w:r>
      <w:r w:rsidRPr="00CC317E">
        <w:rPr>
          <w:sz w:val="20"/>
          <w:szCs w:val="20"/>
        </w:rPr>
        <w:t xml:space="preserve">, at 450 (“‘Agricultural </w:t>
      </w:r>
      <w:proofErr w:type="spellStart"/>
      <w:r w:rsidRPr="00CC317E">
        <w:rPr>
          <w:sz w:val="20"/>
          <w:szCs w:val="20"/>
        </w:rPr>
        <w:t>stormwater</w:t>
      </w:r>
      <w:proofErr w:type="spellEnd"/>
      <w:r w:rsidRPr="00CC317E">
        <w:rPr>
          <w:sz w:val="20"/>
          <w:szCs w:val="20"/>
        </w:rPr>
        <w:t xml:space="preserve"> discharges’ from farmlands are not considered discharges for purposes of the CWA. Considering that it is during storms when much of the runoff from farms occurs (including manure that is sprayed on fields), the </w:t>
      </w:r>
      <w:proofErr w:type="spellStart"/>
      <w:r w:rsidRPr="00CC317E">
        <w:rPr>
          <w:sz w:val="20"/>
          <w:szCs w:val="20"/>
        </w:rPr>
        <w:t>stormwater</w:t>
      </w:r>
      <w:proofErr w:type="spellEnd"/>
      <w:r w:rsidRPr="00CC317E">
        <w:rPr>
          <w:sz w:val="20"/>
          <w:szCs w:val="20"/>
        </w:rPr>
        <w:t xml:space="preserve"> exemption effectively forms a shield from CWA regulation for agriculture.</w:t>
      </w:r>
      <w:r>
        <w:rPr>
          <w:sz w:val="20"/>
          <w:szCs w:val="20"/>
        </w:rPr>
        <w:t xml:space="preserve">”) </w:t>
      </w:r>
    </w:p>
  </w:footnote>
  <w:footnote w:id="99">
    <w:p w14:paraId="747F0C72" w14:textId="115447AF" w:rsidR="0084636B" w:rsidRPr="006A61C1" w:rsidRDefault="0084636B" w:rsidP="006A61C1">
      <w:pPr>
        <w:pStyle w:val="FootnoteText"/>
        <w:spacing w:before="60"/>
        <w:jc w:val="both"/>
        <w:rPr>
          <w:sz w:val="20"/>
          <w:szCs w:val="20"/>
        </w:rPr>
      </w:pPr>
      <w:r>
        <w:rPr>
          <w:rStyle w:val="FootnoteReference"/>
        </w:rPr>
        <w:footnoteRef/>
      </w:r>
      <w:r>
        <w:t xml:space="preserve"> </w:t>
      </w:r>
      <w:r>
        <w:rPr>
          <w:sz w:val="20"/>
          <w:szCs w:val="20"/>
        </w:rPr>
        <w:t xml:space="preserve">The Safe Drinking Water Act also fails to regulate runoff. Christine L. </w:t>
      </w:r>
      <w:proofErr w:type="spellStart"/>
      <w:r>
        <w:rPr>
          <w:sz w:val="20"/>
          <w:szCs w:val="20"/>
        </w:rPr>
        <w:t>Rideout</w:t>
      </w:r>
      <w:proofErr w:type="spellEnd"/>
      <w:r>
        <w:rPr>
          <w:sz w:val="20"/>
          <w:szCs w:val="20"/>
        </w:rPr>
        <w:t xml:space="preserve">, </w:t>
      </w:r>
      <w:r>
        <w:rPr>
          <w:i/>
          <w:sz w:val="20"/>
          <w:szCs w:val="20"/>
        </w:rPr>
        <w:t>Where are All the Citizen Suits</w:t>
      </w:r>
      <w:proofErr w:type="gramStart"/>
      <w:r>
        <w:rPr>
          <w:i/>
          <w:sz w:val="20"/>
          <w:szCs w:val="20"/>
        </w:rPr>
        <w:t>?:</w:t>
      </w:r>
      <w:proofErr w:type="gramEnd"/>
      <w:r>
        <w:rPr>
          <w:i/>
          <w:sz w:val="20"/>
          <w:szCs w:val="20"/>
        </w:rPr>
        <w:t xml:space="preserve"> The Failure of Safe Drinking Water Enforcement in the </w:t>
      </w:r>
      <w:r w:rsidRPr="006A61C1">
        <w:rPr>
          <w:i/>
          <w:sz w:val="20"/>
          <w:szCs w:val="20"/>
        </w:rPr>
        <w:t>United States</w:t>
      </w:r>
      <w:r>
        <w:rPr>
          <w:sz w:val="20"/>
          <w:szCs w:val="20"/>
        </w:rPr>
        <w:t xml:space="preserve">, 21 Health Matrix 655, </w:t>
      </w:r>
      <w:r w:rsidRPr="006A61C1">
        <w:rPr>
          <w:sz w:val="20"/>
          <w:szCs w:val="20"/>
        </w:rPr>
        <w:t>671</w:t>
      </w:r>
      <w:r>
        <w:rPr>
          <w:sz w:val="20"/>
          <w:szCs w:val="20"/>
        </w:rPr>
        <w:t xml:space="preserve"> (2011) (discussing 42 U.S.C. §§ 300f–300j-26 (2016)). </w:t>
      </w:r>
    </w:p>
  </w:footnote>
  <w:footnote w:id="100">
    <w:p w14:paraId="5925BD35" w14:textId="0EB1C6CF" w:rsidR="0084636B" w:rsidRDefault="0084636B" w:rsidP="00BE04F0">
      <w:pPr>
        <w:pStyle w:val="FootnoteText"/>
        <w:spacing w:before="60"/>
        <w:jc w:val="both"/>
      </w:pPr>
      <w:r>
        <w:rPr>
          <w:rStyle w:val="FootnoteReference"/>
        </w:rPr>
        <w:footnoteRef/>
      </w:r>
      <w:r>
        <w:t xml:space="preserve"> </w:t>
      </w:r>
      <w:proofErr w:type="spellStart"/>
      <w:r w:rsidRPr="00BE04F0">
        <w:rPr>
          <w:iCs/>
          <w:sz w:val="20"/>
          <w:szCs w:val="20"/>
        </w:rPr>
        <w:t>Waterkeeper</w:t>
      </w:r>
      <w:proofErr w:type="spellEnd"/>
      <w:r w:rsidRPr="00BE04F0">
        <w:rPr>
          <w:iCs/>
          <w:sz w:val="20"/>
          <w:szCs w:val="20"/>
        </w:rPr>
        <w:t xml:space="preserve"> Alliance v. EPA</w:t>
      </w:r>
      <w:r w:rsidRPr="00BE04F0">
        <w:rPr>
          <w:sz w:val="20"/>
          <w:szCs w:val="20"/>
        </w:rPr>
        <w:t xml:space="preserve">, 399 F.3d 486 (2d Cir. 2005) (directing EPA to remove requirement that all CAFOs obtain NPDES permit); </w:t>
      </w:r>
      <w:proofErr w:type="spellStart"/>
      <w:r w:rsidRPr="00BE04F0">
        <w:rPr>
          <w:sz w:val="20"/>
          <w:szCs w:val="20"/>
          <w:lang w:val="cs-CZ"/>
        </w:rPr>
        <w:t>Nat’l</w:t>
      </w:r>
      <w:proofErr w:type="spellEnd"/>
      <w:r w:rsidRPr="00BE04F0">
        <w:rPr>
          <w:sz w:val="20"/>
          <w:szCs w:val="20"/>
          <w:lang w:val="cs-CZ"/>
        </w:rPr>
        <w:t xml:space="preserve"> </w:t>
      </w:r>
      <w:proofErr w:type="spellStart"/>
      <w:r w:rsidRPr="00BE04F0">
        <w:rPr>
          <w:sz w:val="20"/>
          <w:szCs w:val="20"/>
          <w:lang w:val="cs-CZ"/>
        </w:rPr>
        <w:t>Pork</w:t>
      </w:r>
      <w:proofErr w:type="spellEnd"/>
      <w:r w:rsidRPr="00BE04F0">
        <w:rPr>
          <w:sz w:val="20"/>
          <w:szCs w:val="20"/>
          <w:lang w:val="cs-CZ"/>
        </w:rPr>
        <w:t xml:space="preserve"> </w:t>
      </w:r>
      <w:proofErr w:type="spellStart"/>
      <w:r w:rsidRPr="00BE04F0">
        <w:rPr>
          <w:sz w:val="20"/>
          <w:szCs w:val="20"/>
          <w:lang w:val="cs-CZ"/>
        </w:rPr>
        <w:t>Producer</w:t>
      </w:r>
      <w:r>
        <w:rPr>
          <w:sz w:val="20"/>
          <w:szCs w:val="20"/>
          <w:lang w:val="cs-CZ"/>
        </w:rPr>
        <w:t>s</w:t>
      </w:r>
      <w:proofErr w:type="spellEnd"/>
      <w:r>
        <w:rPr>
          <w:sz w:val="20"/>
          <w:szCs w:val="20"/>
          <w:lang w:val="cs-CZ"/>
        </w:rPr>
        <w:t xml:space="preserve"> </w:t>
      </w:r>
      <w:proofErr w:type="spellStart"/>
      <w:r>
        <w:rPr>
          <w:sz w:val="20"/>
          <w:szCs w:val="20"/>
          <w:lang w:val="cs-CZ"/>
        </w:rPr>
        <w:t>Council</w:t>
      </w:r>
      <w:proofErr w:type="spellEnd"/>
      <w:r>
        <w:rPr>
          <w:sz w:val="20"/>
          <w:szCs w:val="20"/>
          <w:lang w:val="cs-CZ"/>
        </w:rPr>
        <w:t xml:space="preserve"> v. EPA</w:t>
      </w:r>
      <w:r w:rsidRPr="00BE04F0">
        <w:rPr>
          <w:sz w:val="20"/>
          <w:szCs w:val="20"/>
          <w:lang w:val="cs-CZ"/>
        </w:rPr>
        <w:t xml:space="preserve">, 635 F.3d 738, 745 (5th </w:t>
      </w:r>
      <w:proofErr w:type="spellStart"/>
      <w:r w:rsidRPr="00BE04F0">
        <w:rPr>
          <w:sz w:val="20"/>
          <w:szCs w:val="20"/>
          <w:lang w:val="cs-CZ"/>
        </w:rPr>
        <w:t>Cir</w:t>
      </w:r>
      <w:proofErr w:type="spellEnd"/>
      <w:r w:rsidRPr="00BE04F0">
        <w:rPr>
          <w:sz w:val="20"/>
          <w:szCs w:val="20"/>
          <w:lang w:val="cs-CZ"/>
        </w:rPr>
        <w:t>. 2011)</w:t>
      </w:r>
      <w:r>
        <w:rPr>
          <w:sz w:val="20"/>
          <w:szCs w:val="20"/>
          <w:lang w:val="cs-CZ"/>
        </w:rPr>
        <w:t xml:space="preserve"> (directing EPA to remove requirement that CAFOs that propose to discharge apply for NPDES permits). </w:t>
      </w:r>
    </w:p>
  </w:footnote>
  <w:footnote w:id="101">
    <w:p w14:paraId="00EAF714" w14:textId="03EC7D29" w:rsidR="0084636B" w:rsidRPr="009A7460" w:rsidRDefault="0084636B" w:rsidP="009A7460">
      <w:pPr>
        <w:pStyle w:val="FootnoteText"/>
        <w:spacing w:before="60"/>
        <w:jc w:val="both"/>
        <w:rPr>
          <w:sz w:val="20"/>
          <w:szCs w:val="20"/>
        </w:rPr>
      </w:pPr>
      <w:r>
        <w:rPr>
          <w:rStyle w:val="FootnoteReference"/>
        </w:rPr>
        <w:footnoteRef/>
      </w:r>
      <w:r>
        <w:t xml:space="preserve"> </w:t>
      </w:r>
      <w:r>
        <w:rPr>
          <w:sz w:val="20"/>
          <w:szCs w:val="20"/>
        </w:rPr>
        <w:t>Many states, especially those with powerful CAFO industries, fail to properly administer the NPDES program and enforce the CWA. “</w:t>
      </w:r>
      <w:r w:rsidRPr="009A7460">
        <w:rPr>
          <w:sz w:val="20"/>
          <w:szCs w:val="20"/>
        </w:rPr>
        <w:t>EPA</w:t>
      </w:r>
      <w:r>
        <w:rPr>
          <w:sz w:val="20"/>
          <w:szCs w:val="20"/>
        </w:rPr>
        <w:t xml:space="preserve"> </w:t>
      </w:r>
      <w:r w:rsidRPr="009A7460">
        <w:rPr>
          <w:sz w:val="20"/>
          <w:szCs w:val="20"/>
        </w:rPr>
        <w:t>discovered that the Iowa Department of Natural Resources was not properly conducting</w:t>
      </w:r>
      <w:r>
        <w:rPr>
          <w:sz w:val="20"/>
          <w:szCs w:val="20"/>
        </w:rPr>
        <w:t xml:space="preserve"> </w:t>
      </w:r>
      <w:r w:rsidRPr="009A7460">
        <w:rPr>
          <w:sz w:val="20"/>
          <w:szCs w:val="20"/>
        </w:rPr>
        <w:t>inspections to determine whether unpermitted CAFOs needed permits, assessing adequate</w:t>
      </w:r>
      <w:r>
        <w:rPr>
          <w:sz w:val="20"/>
          <w:szCs w:val="20"/>
        </w:rPr>
        <w:t xml:space="preserve"> </w:t>
      </w:r>
      <w:r w:rsidRPr="009A7460">
        <w:rPr>
          <w:sz w:val="20"/>
          <w:szCs w:val="20"/>
        </w:rPr>
        <w:t xml:space="preserve">penalties against CAFOs, or issuing </w:t>
      </w:r>
      <w:r>
        <w:rPr>
          <w:sz w:val="20"/>
          <w:szCs w:val="20"/>
        </w:rPr>
        <w:t xml:space="preserve">NPDES permits when appropriate.” </w:t>
      </w:r>
      <w:proofErr w:type="spellStart"/>
      <w:r>
        <w:rPr>
          <w:sz w:val="20"/>
          <w:szCs w:val="20"/>
        </w:rPr>
        <w:t>Carlesco</w:t>
      </w:r>
      <w:proofErr w:type="spellEnd"/>
      <w:r>
        <w:rPr>
          <w:sz w:val="20"/>
          <w:szCs w:val="20"/>
        </w:rPr>
        <w:t xml:space="preserve">, </w:t>
      </w:r>
      <w:r>
        <w:rPr>
          <w:i/>
          <w:sz w:val="20"/>
          <w:szCs w:val="20"/>
        </w:rPr>
        <w:t xml:space="preserve">supra </w:t>
      </w:r>
      <w:r>
        <w:rPr>
          <w:sz w:val="20"/>
          <w:szCs w:val="20"/>
        </w:rPr>
        <w:t xml:space="preserve">note 98, at 63. Without the states doing their part to regulate CAFOs, EPA cannot possibly achieve the goal of the CWA. </w:t>
      </w:r>
      <w:proofErr w:type="gramStart"/>
      <w:r>
        <w:rPr>
          <w:i/>
          <w:sz w:val="20"/>
          <w:szCs w:val="20"/>
        </w:rPr>
        <w:t xml:space="preserve">Id. </w:t>
      </w:r>
      <w:r>
        <w:rPr>
          <w:sz w:val="20"/>
          <w:szCs w:val="20"/>
        </w:rPr>
        <w:t>at 64.</w:t>
      </w:r>
      <w:proofErr w:type="gramEnd"/>
      <w:r>
        <w:rPr>
          <w:sz w:val="20"/>
          <w:szCs w:val="20"/>
        </w:rPr>
        <w:t xml:space="preserve"> </w:t>
      </w:r>
    </w:p>
  </w:footnote>
  <w:footnote w:id="102">
    <w:p w14:paraId="32120D95" w14:textId="2D4DAB73" w:rsidR="0084636B" w:rsidRPr="00973113" w:rsidRDefault="0084636B" w:rsidP="007006D0">
      <w:pPr>
        <w:pStyle w:val="FootnoteText"/>
        <w:spacing w:before="60"/>
        <w:jc w:val="both"/>
        <w:rPr>
          <w:i/>
        </w:rPr>
      </w:pPr>
      <w:r>
        <w:rPr>
          <w:rStyle w:val="FootnoteReference"/>
        </w:rPr>
        <w:footnoteRef/>
      </w:r>
      <w:r>
        <w:t xml:space="preserve"> </w:t>
      </w:r>
      <w:proofErr w:type="spellStart"/>
      <w:r w:rsidRPr="007006D0">
        <w:rPr>
          <w:sz w:val="20"/>
          <w:szCs w:val="20"/>
        </w:rPr>
        <w:t>Carlesco</w:t>
      </w:r>
      <w:proofErr w:type="spellEnd"/>
      <w:r w:rsidRPr="007006D0">
        <w:rPr>
          <w:sz w:val="20"/>
          <w:szCs w:val="20"/>
        </w:rPr>
        <w:t xml:space="preserve">, </w:t>
      </w:r>
      <w:r w:rsidRPr="007006D0">
        <w:rPr>
          <w:i/>
          <w:sz w:val="20"/>
          <w:szCs w:val="20"/>
        </w:rPr>
        <w:t xml:space="preserve">supra </w:t>
      </w:r>
      <w:r>
        <w:rPr>
          <w:sz w:val="20"/>
          <w:szCs w:val="20"/>
        </w:rPr>
        <w:t>note 98</w:t>
      </w:r>
      <w:r w:rsidRPr="007006D0">
        <w:rPr>
          <w:sz w:val="20"/>
          <w:szCs w:val="20"/>
        </w:rPr>
        <w:t>, at 60.</w:t>
      </w:r>
      <w:r>
        <w:rPr>
          <w:sz w:val="20"/>
          <w:szCs w:val="20"/>
        </w:rPr>
        <w:t xml:space="preserve"> EPA proposed a new version of the CAFO Rule in 2011 that would have required “CAFOs to report facility-specific information in order to help the EPA properly implement the NPDES program and ensure CAFO compliance with CWA requirements.” </w:t>
      </w:r>
      <w:r>
        <w:rPr>
          <w:i/>
          <w:sz w:val="20"/>
          <w:szCs w:val="20"/>
        </w:rPr>
        <w:t xml:space="preserve">Id. </w:t>
      </w:r>
      <w:r>
        <w:rPr>
          <w:sz w:val="20"/>
          <w:szCs w:val="20"/>
        </w:rPr>
        <w:t xml:space="preserve">(discussing </w:t>
      </w:r>
      <w:r w:rsidRPr="00A70741">
        <w:rPr>
          <w:sz w:val="20"/>
          <w:szCs w:val="20"/>
        </w:rPr>
        <w:t>76 Fe</w:t>
      </w:r>
      <w:r>
        <w:rPr>
          <w:sz w:val="20"/>
          <w:szCs w:val="20"/>
        </w:rPr>
        <w:t xml:space="preserve">d. Reg.  65,431, Oct. 21, 2011). The proposal, grounded in the authority granted to EPA under § 308 of the CWA, was two-fold when it went up for public review and comment. First, the proposal would require CAFOs to provide basic identifying information to EPA, such as the name and contact information for the owner. </w:t>
      </w:r>
      <w:r>
        <w:rPr>
          <w:i/>
          <w:sz w:val="20"/>
          <w:szCs w:val="20"/>
        </w:rPr>
        <w:t xml:space="preserve">Id. </w:t>
      </w:r>
      <w:r>
        <w:rPr>
          <w:sz w:val="20"/>
          <w:szCs w:val="20"/>
        </w:rPr>
        <w:t xml:space="preserve">Second, the proposal would allow EPA to use § 308 authority to get information from CAFOs that are located in areas struggling with water quality issues likely caused by CAFOs. </w:t>
      </w:r>
      <w:r>
        <w:rPr>
          <w:i/>
          <w:sz w:val="20"/>
          <w:szCs w:val="20"/>
        </w:rPr>
        <w:t xml:space="preserve">Id. </w:t>
      </w:r>
      <w:r>
        <w:rPr>
          <w:sz w:val="20"/>
          <w:szCs w:val="20"/>
        </w:rPr>
        <w:t xml:space="preserve">“EPA would use existing data to point to ‘focus watersheds’ with abnormally high nitrogen and phosphorous content likely originating from animal agriculture sources. </w:t>
      </w:r>
      <w:r>
        <w:rPr>
          <w:i/>
          <w:sz w:val="20"/>
          <w:szCs w:val="20"/>
        </w:rPr>
        <w:t xml:space="preserve">Id. </w:t>
      </w:r>
      <w:r>
        <w:rPr>
          <w:sz w:val="20"/>
          <w:szCs w:val="20"/>
        </w:rPr>
        <w:t xml:space="preserve">at n.110 (citing 76 Fed. Reg. 65431, Oct. 21, 2011)). The purpose of the proposed rule would be to “allow the EPA to identify and permit CAFOs that discharge, conduct education and outreach on best management practices, estimate pollutant loads by facility and geographical area, and assist in allocation of resources for compliance enforcement.” </w:t>
      </w:r>
      <w:r>
        <w:rPr>
          <w:i/>
          <w:sz w:val="20"/>
          <w:szCs w:val="20"/>
        </w:rPr>
        <w:t xml:space="preserve">Id. </w:t>
      </w:r>
      <w:r>
        <w:rPr>
          <w:sz w:val="20"/>
          <w:szCs w:val="20"/>
        </w:rPr>
        <w:t xml:space="preserve">(citing </w:t>
      </w:r>
      <w:r w:rsidRPr="00973113">
        <w:rPr>
          <w:i/>
          <w:sz w:val="20"/>
          <w:szCs w:val="20"/>
        </w:rPr>
        <w:t>Proposed NPDES CAFO Reporting Rule Q&amp;A</w:t>
      </w:r>
      <w:r w:rsidRPr="00973113">
        <w:rPr>
          <w:sz w:val="20"/>
          <w:szCs w:val="20"/>
        </w:rPr>
        <w:t xml:space="preserve">, </w:t>
      </w:r>
      <w:proofErr w:type="spellStart"/>
      <w:r w:rsidRPr="00973113">
        <w:rPr>
          <w:smallCaps/>
          <w:sz w:val="20"/>
          <w:szCs w:val="20"/>
        </w:rPr>
        <w:t>Envtl</w:t>
      </w:r>
      <w:proofErr w:type="spellEnd"/>
      <w:r w:rsidRPr="00973113">
        <w:rPr>
          <w:smallCaps/>
          <w:sz w:val="20"/>
          <w:szCs w:val="20"/>
        </w:rPr>
        <w:t>. Prot. Agency</w:t>
      </w:r>
      <w:r w:rsidRPr="00973113">
        <w:rPr>
          <w:sz w:val="20"/>
          <w:szCs w:val="20"/>
        </w:rPr>
        <w:t>, Oct. 2011</w:t>
      </w:r>
      <w:r>
        <w:rPr>
          <w:sz w:val="20"/>
          <w:szCs w:val="20"/>
        </w:rPr>
        <w:t xml:space="preserve">). Ultimately, EPA withdrew the rule on July 13, 2012. </w:t>
      </w:r>
      <w:proofErr w:type="gramStart"/>
      <w:r>
        <w:rPr>
          <w:i/>
          <w:sz w:val="20"/>
          <w:szCs w:val="20"/>
        </w:rPr>
        <w:t xml:space="preserve">Id. </w:t>
      </w:r>
      <w:r>
        <w:rPr>
          <w:sz w:val="20"/>
          <w:szCs w:val="20"/>
        </w:rPr>
        <w:t>at 61.</w:t>
      </w:r>
      <w:proofErr w:type="gramEnd"/>
      <w:r>
        <w:rPr>
          <w:sz w:val="20"/>
          <w:szCs w:val="20"/>
        </w:rPr>
        <w:t xml:space="preserve"> EPA elected to get this information directly from state agencies and other channels following a settlement agreement related to the 2008 version of the CAFO Rule. </w:t>
      </w:r>
      <w:r>
        <w:rPr>
          <w:i/>
          <w:sz w:val="20"/>
          <w:szCs w:val="20"/>
        </w:rPr>
        <w:t xml:space="preserve">Id. </w:t>
      </w:r>
    </w:p>
  </w:footnote>
  <w:footnote w:id="103">
    <w:p w14:paraId="3273AFE9" w14:textId="5307417E" w:rsidR="0084636B" w:rsidRPr="00045E00" w:rsidRDefault="0084636B" w:rsidP="008621E6">
      <w:pPr>
        <w:pStyle w:val="FootnoteText"/>
        <w:spacing w:before="60"/>
        <w:jc w:val="both"/>
        <w:rPr>
          <w:sz w:val="20"/>
          <w:szCs w:val="20"/>
        </w:rPr>
      </w:pPr>
      <w:r>
        <w:rPr>
          <w:rStyle w:val="FootnoteReference"/>
        </w:rPr>
        <w:footnoteRef/>
      </w:r>
      <w:r>
        <w:t xml:space="preserve"> </w:t>
      </w:r>
      <w:r w:rsidRPr="006A61C1">
        <w:rPr>
          <w:smallCaps/>
          <w:sz w:val="20"/>
          <w:szCs w:val="20"/>
        </w:rPr>
        <w:t>Environmental Protection Agency, Introduction to the Clean Water Act</w:t>
      </w:r>
      <w:r w:rsidRPr="006A61C1">
        <w:rPr>
          <w:sz w:val="20"/>
          <w:szCs w:val="20"/>
        </w:rPr>
        <w:t xml:space="preserve"> 2 (2011)</w:t>
      </w:r>
      <w:r>
        <w:rPr>
          <w:sz w:val="20"/>
          <w:szCs w:val="20"/>
        </w:rPr>
        <w:t xml:space="preserve">, </w:t>
      </w:r>
      <w:r w:rsidRPr="00424191">
        <w:rPr>
          <w:sz w:val="20"/>
          <w:szCs w:val="20"/>
        </w:rPr>
        <w:t>https://cfpub.epa.</w:t>
      </w:r>
      <w:r>
        <w:rPr>
          <w:sz w:val="20"/>
          <w:szCs w:val="20"/>
        </w:rPr>
        <w:br/>
      </w:r>
      <w:proofErr w:type="spellStart"/>
      <w:proofErr w:type="gramStart"/>
      <w:r w:rsidRPr="00424191">
        <w:rPr>
          <w:sz w:val="20"/>
          <w:szCs w:val="20"/>
        </w:rPr>
        <w:t>gov</w:t>
      </w:r>
      <w:proofErr w:type="spellEnd"/>
      <w:proofErr w:type="gramEnd"/>
      <w:r w:rsidRPr="00424191">
        <w:rPr>
          <w:sz w:val="20"/>
          <w:szCs w:val="20"/>
        </w:rPr>
        <w:t>/</w:t>
      </w:r>
      <w:proofErr w:type="spellStart"/>
      <w:r w:rsidRPr="00424191">
        <w:rPr>
          <w:sz w:val="20"/>
          <w:szCs w:val="20"/>
        </w:rPr>
        <w:t>watertrain</w:t>
      </w:r>
      <w:proofErr w:type="spellEnd"/>
      <w:r w:rsidRPr="00424191">
        <w:rPr>
          <w:sz w:val="20"/>
          <w:szCs w:val="20"/>
        </w:rPr>
        <w:t>/</w:t>
      </w:r>
      <w:proofErr w:type="spellStart"/>
      <w:r w:rsidRPr="00424191">
        <w:rPr>
          <w:sz w:val="20"/>
          <w:szCs w:val="20"/>
        </w:rPr>
        <w:t>pdf</w:t>
      </w:r>
      <w:proofErr w:type="spellEnd"/>
      <w:r w:rsidRPr="00424191">
        <w:rPr>
          <w:sz w:val="20"/>
          <w:szCs w:val="20"/>
        </w:rPr>
        <w:t>/modules/introtocwa.pdf</w:t>
      </w:r>
      <w:r>
        <w:rPr>
          <w:sz w:val="20"/>
          <w:szCs w:val="20"/>
        </w:rPr>
        <w:t xml:space="preserve">. </w:t>
      </w:r>
      <w:r w:rsidRPr="008621E6">
        <w:rPr>
          <w:sz w:val="20"/>
          <w:szCs w:val="20"/>
        </w:rPr>
        <w:t xml:space="preserve">The Resource Conservation and Recovery Act (RCRA), however, </w:t>
      </w:r>
      <w:proofErr w:type="gramStart"/>
      <w:r w:rsidRPr="008621E6">
        <w:rPr>
          <w:sz w:val="20"/>
          <w:szCs w:val="20"/>
        </w:rPr>
        <w:t>presents</w:t>
      </w:r>
      <w:proofErr w:type="gramEnd"/>
      <w:r w:rsidRPr="008621E6">
        <w:rPr>
          <w:sz w:val="20"/>
          <w:szCs w:val="20"/>
        </w:rPr>
        <w:t xml:space="preserve"> a promising option for protecting groundwater from CAFO pollution. </w:t>
      </w:r>
      <w:r w:rsidRPr="008621E6">
        <w:rPr>
          <w:sz w:val="20"/>
        </w:rPr>
        <w:t>Solid Waste Disposal Act, 42 U.S.C. §§ 6901–6992k (2016) (known as the Resource Conservation and Recovery Act following the 1976 amendments of the Solid Waste Disposal Act).</w:t>
      </w:r>
      <w:r>
        <w:rPr>
          <w:sz w:val="20"/>
        </w:rPr>
        <w:t xml:space="preserve"> </w:t>
      </w:r>
      <w:r w:rsidRPr="008621E6">
        <w:rPr>
          <w:i/>
          <w:sz w:val="20"/>
          <w:szCs w:val="20"/>
        </w:rPr>
        <w:t xml:space="preserve">See </w:t>
      </w:r>
      <w:r w:rsidRPr="008621E6">
        <w:rPr>
          <w:i/>
          <w:iCs/>
          <w:sz w:val="20"/>
          <w:szCs w:val="20"/>
        </w:rPr>
        <w:t>Com</w:t>
      </w:r>
      <w:r>
        <w:rPr>
          <w:i/>
          <w:iCs/>
          <w:sz w:val="20"/>
          <w:szCs w:val="20"/>
        </w:rPr>
        <w:t>munity Association for Restora</w:t>
      </w:r>
      <w:r w:rsidRPr="008621E6">
        <w:rPr>
          <w:i/>
          <w:iCs/>
          <w:sz w:val="20"/>
          <w:szCs w:val="20"/>
        </w:rPr>
        <w:t>tion of the Envir</w:t>
      </w:r>
      <w:r>
        <w:rPr>
          <w:i/>
          <w:iCs/>
          <w:sz w:val="20"/>
          <w:szCs w:val="20"/>
        </w:rPr>
        <w:t>onment, Inc. v. Cow Palace, LLC</w:t>
      </w:r>
      <w:r w:rsidRPr="008621E6">
        <w:rPr>
          <w:iCs/>
          <w:sz w:val="20"/>
          <w:szCs w:val="20"/>
        </w:rPr>
        <w:t>,</w:t>
      </w:r>
      <w:r w:rsidRPr="008621E6">
        <w:rPr>
          <w:sz w:val="20"/>
          <w:szCs w:val="20"/>
        </w:rPr>
        <w:t xml:space="preserve"> 80 F. Supp. 3d 1180 (E.D. Wash. 2015) (</w:t>
      </w:r>
      <w:r>
        <w:rPr>
          <w:sz w:val="20"/>
          <w:szCs w:val="20"/>
        </w:rPr>
        <w:t xml:space="preserve">extending RCRA to agriculture by holding that manure can, under some circumstances, qualify as “solid waste” under RCRA). </w:t>
      </w:r>
      <w:r>
        <w:rPr>
          <w:i/>
          <w:sz w:val="20"/>
          <w:szCs w:val="20"/>
        </w:rPr>
        <w:t xml:space="preserve">See also </w:t>
      </w:r>
      <w:r>
        <w:rPr>
          <w:sz w:val="20"/>
          <w:szCs w:val="20"/>
        </w:rPr>
        <w:t xml:space="preserve">Rachel </w:t>
      </w:r>
      <w:proofErr w:type="spellStart"/>
      <w:r>
        <w:rPr>
          <w:sz w:val="20"/>
          <w:szCs w:val="20"/>
        </w:rPr>
        <w:t>Fullmer</w:t>
      </w:r>
      <w:proofErr w:type="spellEnd"/>
      <w:r>
        <w:rPr>
          <w:sz w:val="20"/>
          <w:szCs w:val="20"/>
        </w:rPr>
        <w:t xml:space="preserve">, </w:t>
      </w:r>
      <w:r>
        <w:rPr>
          <w:i/>
          <w:sz w:val="20"/>
          <w:szCs w:val="20"/>
        </w:rPr>
        <w:t xml:space="preserve">A </w:t>
      </w:r>
      <w:r>
        <w:rPr>
          <w:sz w:val="20"/>
          <w:szCs w:val="20"/>
        </w:rPr>
        <w:t xml:space="preserve">Cow Palace </w:t>
      </w:r>
      <w:r>
        <w:rPr>
          <w:i/>
          <w:sz w:val="20"/>
          <w:szCs w:val="20"/>
        </w:rPr>
        <w:t>Coup: Expanding the Reach of RCRA to Combat Agricultural Pollution</w:t>
      </w:r>
      <w:r>
        <w:rPr>
          <w:sz w:val="20"/>
          <w:szCs w:val="20"/>
        </w:rPr>
        <w:t xml:space="preserve">, 28 Georgetown </w:t>
      </w:r>
      <w:proofErr w:type="spellStart"/>
      <w:r>
        <w:rPr>
          <w:sz w:val="20"/>
          <w:szCs w:val="20"/>
        </w:rPr>
        <w:t>Envtl</w:t>
      </w:r>
      <w:proofErr w:type="spellEnd"/>
      <w:r>
        <w:rPr>
          <w:sz w:val="20"/>
          <w:szCs w:val="20"/>
        </w:rPr>
        <w:t>. L. Rev. 501, 503 (2016).</w:t>
      </w:r>
    </w:p>
  </w:footnote>
  <w:footnote w:id="104">
    <w:p w14:paraId="375145D6" w14:textId="0B95FAE2" w:rsidR="0084636B" w:rsidRDefault="0084636B" w:rsidP="00CC3B62">
      <w:pPr>
        <w:pStyle w:val="FootnoteText"/>
        <w:spacing w:before="60"/>
        <w:jc w:val="both"/>
      </w:pPr>
      <w:r>
        <w:rPr>
          <w:rStyle w:val="FootnoteReference"/>
        </w:rPr>
        <w:footnoteRef/>
      </w:r>
      <w:r>
        <w:t xml:space="preserve"> </w:t>
      </w:r>
      <w:proofErr w:type="gramStart"/>
      <w:r w:rsidRPr="00CC3B62">
        <w:rPr>
          <w:sz w:val="20"/>
        </w:rPr>
        <w:t>Hoover,</w:t>
      </w:r>
      <w:proofErr w:type="gramEnd"/>
      <w:r>
        <w:rPr>
          <w:sz w:val="20"/>
        </w:rPr>
        <w:t xml:space="preserve"> </w:t>
      </w:r>
      <w:r>
        <w:rPr>
          <w:i/>
          <w:sz w:val="20"/>
        </w:rPr>
        <w:t xml:space="preserve">supra </w:t>
      </w:r>
      <w:r>
        <w:rPr>
          <w:sz w:val="20"/>
        </w:rPr>
        <w:t xml:space="preserve">note 67, at 10 </w:t>
      </w:r>
      <w:r w:rsidRPr="00CC3B62">
        <w:rPr>
          <w:sz w:val="20"/>
        </w:rPr>
        <w:t>(citing 42 U.S.C. § 7409</w:t>
      </w:r>
      <w:r>
        <w:rPr>
          <w:sz w:val="20"/>
        </w:rPr>
        <w:t xml:space="preserve"> (2012) (criteria pollutants, which are sulfur dioxide, carbon monoxide, ozone, nitrogen dioxide, lead, and PM), </w:t>
      </w:r>
      <w:r w:rsidRPr="00CC3B62">
        <w:rPr>
          <w:sz w:val="20"/>
        </w:rPr>
        <w:t>§ 7412</w:t>
      </w:r>
      <w:r>
        <w:rPr>
          <w:sz w:val="20"/>
        </w:rPr>
        <w:t xml:space="preserve"> (hazardous air pollutants), § 7411 (stationary sources)). </w:t>
      </w:r>
    </w:p>
  </w:footnote>
  <w:footnote w:id="105">
    <w:p w14:paraId="3B22920F" w14:textId="33C7B4FE" w:rsidR="0084636B" w:rsidRPr="00927E40" w:rsidRDefault="0084636B" w:rsidP="00AC7B15">
      <w:pPr>
        <w:pStyle w:val="FootnoteText"/>
        <w:spacing w:before="60"/>
        <w:rPr>
          <w:sz w:val="20"/>
          <w:szCs w:val="20"/>
        </w:rPr>
      </w:pPr>
      <w:r>
        <w:rPr>
          <w:rStyle w:val="FootnoteReference"/>
        </w:rPr>
        <w:footnoteRef/>
      </w:r>
      <w:r>
        <w:t xml:space="preserve"> </w:t>
      </w:r>
      <w:r w:rsidRPr="0096785D">
        <w:rPr>
          <w:sz w:val="20"/>
          <w:szCs w:val="20"/>
        </w:rPr>
        <w:t xml:space="preserve">Bearden, </w:t>
      </w:r>
      <w:r w:rsidRPr="0096785D">
        <w:rPr>
          <w:i/>
          <w:sz w:val="20"/>
          <w:szCs w:val="20"/>
        </w:rPr>
        <w:t xml:space="preserve">supra </w:t>
      </w:r>
      <w:r>
        <w:rPr>
          <w:sz w:val="20"/>
          <w:szCs w:val="20"/>
        </w:rPr>
        <w:t>note 88, at Summary.</w:t>
      </w:r>
    </w:p>
  </w:footnote>
  <w:footnote w:id="106">
    <w:p w14:paraId="3A25F883" w14:textId="1D4EA98C" w:rsidR="0084636B" w:rsidRPr="00AC7B15" w:rsidRDefault="0084636B" w:rsidP="00AC7B15">
      <w:pPr>
        <w:pStyle w:val="FootnoteText"/>
        <w:spacing w:before="60"/>
        <w:jc w:val="both"/>
        <w:rPr>
          <w:i/>
        </w:rPr>
      </w:pPr>
      <w:r>
        <w:rPr>
          <w:rStyle w:val="FootnoteReference"/>
        </w:rPr>
        <w:footnoteRef/>
      </w:r>
      <w:r>
        <w:t xml:space="preserve"> </w:t>
      </w:r>
      <w:r w:rsidRPr="00AC7B15">
        <w:rPr>
          <w:i/>
          <w:sz w:val="20"/>
          <w:szCs w:val="20"/>
        </w:rPr>
        <w:t>Id.</w:t>
      </w:r>
      <w:r>
        <w:rPr>
          <w:i/>
        </w:rPr>
        <w:t xml:space="preserve"> </w:t>
      </w:r>
    </w:p>
  </w:footnote>
  <w:footnote w:id="107">
    <w:p w14:paraId="18CA9644" w14:textId="32F3FCB1" w:rsidR="0084636B" w:rsidRDefault="0084636B" w:rsidP="00516941">
      <w:pPr>
        <w:pStyle w:val="FootnoteText"/>
        <w:spacing w:before="60"/>
        <w:jc w:val="both"/>
      </w:pPr>
      <w:r>
        <w:rPr>
          <w:rStyle w:val="FootnoteReference"/>
        </w:rPr>
        <w:footnoteRef/>
      </w:r>
      <w:r>
        <w:t xml:space="preserve"> </w:t>
      </w:r>
      <w:proofErr w:type="gramStart"/>
      <w:r>
        <w:rPr>
          <w:i/>
          <w:sz w:val="20"/>
          <w:szCs w:val="20"/>
        </w:rPr>
        <w:t xml:space="preserve">Id. </w:t>
      </w:r>
      <w:r>
        <w:rPr>
          <w:sz w:val="20"/>
          <w:szCs w:val="20"/>
        </w:rPr>
        <w:t>at 3.</w:t>
      </w:r>
      <w:proofErr w:type="gramEnd"/>
    </w:p>
  </w:footnote>
  <w:footnote w:id="108">
    <w:p w14:paraId="5D59A48E" w14:textId="41CC00E9" w:rsidR="0084636B" w:rsidRPr="00EE5376" w:rsidRDefault="0084636B" w:rsidP="00EE5376">
      <w:pPr>
        <w:pStyle w:val="FootnoteText"/>
        <w:spacing w:before="60"/>
        <w:jc w:val="both"/>
        <w:rPr>
          <w:sz w:val="20"/>
          <w:szCs w:val="20"/>
        </w:rPr>
      </w:pPr>
      <w:r>
        <w:rPr>
          <w:rStyle w:val="FootnoteReference"/>
        </w:rPr>
        <w:footnoteRef/>
      </w:r>
      <w:r>
        <w:t xml:space="preserve"> </w:t>
      </w:r>
      <w:r w:rsidRPr="00164D43">
        <w:rPr>
          <w:i/>
          <w:sz w:val="20"/>
          <w:szCs w:val="20"/>
        </w:rPr>
        <w:t>Id.</w:t>
      </w:r>
      <w:r>
        <w:t xml:space="preserve"> </w:t>
      </w:r>
      <w:r>
        <w:rPr>
          <w:sz w:val="20"/>
          <w:szCs w:val="20"/>
        </w:rPr>
        <w:t>S</w:t>
      </w:r>
      <w:r w:rsidRPr="00EE3694">
        <w:rPr>
          <w:sz w:val="20"/>
          <w:szCs w:val="20"/>
        </w:rPr>
        <w:t xml:space="preserve">tates must create State Implementation Plans (SIP) “to </w:t>
      </w:r>
      <w:proofErr w:type="gramStart"/>
      <w:r w:rsidRPr="00EE3694">
        <w:rPr>
          <w:sz w:val="20"/>
          <w:szCs w:val="20"/>
        </w:rPr>
        <w:t>translate[</w:t>
      </w:r>
      <w:proofErr w:type="gramEnd"/>
      <w:r w:rsidRPr="00EE3694">
        <w:rPr>
          <w:sz w:val="20"/>
          <w:szCs w:val="20"/>
        </w:rPr>
        <w:t>] national ambient standards into emission limitations and other control measures that govern individual sources of air pollution.; the SIP is enforceable as both state and federal law. The CAA details the basic content of SIPs: enforceable emission limitations, other control measures, monitoring requirements, and schedules for compliance.”</w:t>
      </w:r>
      <w:r>
        <w:t xml:space="preserve"> </w:t>
      </w:r>
      <w:r>
        <w:rPr>
          <w:sz w:val="20"/>
          <w:szCs w:val="20"/>
        </w:rPr>
        <w:t xml:space="preserve">Copeland, </w:t>
      </w:r>
      <w:r>
        <w:rPr>
          <w:i/>
          <w:sz w:val="20"/>
          <w:szCs w:val="20"/>
        </w:rPr>
        <w:t xml:space="preserve">supra </w:t>
      </w:r>
      <w:r>
        <w:rPr>
          <w:sz w:val="20"/>
          <w:szCs w:val="20"/>
        </w:rPr>
        <w:t>note 92, at 11. “[</w:t>
      </w:r>
      <w:proofErr w:type="gramStart"/>
      <w:r>
        <w:rPr>
          <w:sz w:val="20"/>
          <w:szCs w:val="20"/>
        </w:rPr>
        <w:t>P]</w:t>
      </w:r>
      <w:proofErr w:type="spellStart"/>
      <w:r w:rsidRPr="00EE5376">
        <w:rPr>
          <w:sz w:val="20"/>
          <w:szCs w:val="20"/>
        </w:rPr>
        <w:t>ermit</w:t>
      </w:r>
      <w:proofErr w:type="spellEnd"/>
      <w:proofErr w:type="gramEnd"/>
      <w:r>
        <w:rPr>
          <w:sz w:val="20"/>
          <w:szCs w:val="20"/>
        </w:rPr>
        <w:t xml:space="preserve"> </w:t>
      </w:r>
      <w:r w:rsidRPr="00EE5376">
        <w:rPr>
          <w:sz w:val="20"/>
          <w:szCs w:val="20"/>
        </w:rPr>
        <w:t>requirements differ for sources in attainment and non-attainment areas. In</w:t>
      </w:r>
      <w:r>
        <w:rPr>
          <w:sz w:val="20"/>
          <w:szCs w:val="20"/>
        </w:rPr>
        <w:t xml:space="preserve"> </w:t>
      </w:r>
      <w:r w:rsidRPr="00EE5376">
        <w:rPr>
          <w:sz w:val="20"/>
          <w:szCs w:val="20"/>
        </w:rPr>
        <w:t>attainment areas, major emitti</w:t>
      </w:r>
      <w:r>
        <w:rPr>
          <w:sz w:val="20"/>
          <w:szCs w:val="20"/>
        </w:rPr>
        <w:t>ng facilities must install the ‘</w:t>
      </w:r>
      <w:r w:rsidRPr="00EE5376">
        <w:rPr>
          <w:sz w:val="20"/>
          <w:szCs w:val="20"/>
        </w:rPr>
        <w:t>best available control</w:t>
      </w:r>
      <w:r>
        <w:rPr>
          <w:sz w:val="20"/>
          <w:szCs w:val="20"/>
        </w:rPr>
        <w:t xml:space="preserve"> technology’</w:t>
      </w:r>
      <w:r w:rsidRPr="00EE5376">
        <w:rPr>
          <w:sz w:val="20"/>
          <w:szCs w:val="20"/>
        </w:rPr>
        <w:t xml:space="preserve"> (BACT) for each regulated pollutant, as determined on a case-by</w:t>
      </w:r>
      <w:r>
        <w:rPr>
          <w:sz w:val="20"/>
          <w:szCs w:val="20"/>
        </w:rPr>
        <w:t>-</w:t>
      </w:r>
      <w:r w:rsidRPr="00EE5376">
        <w:rPr>
          <w:sz w:val="20"/>
          <w:szCs w:val="20"/>
        </w:rPr>
        <w:t>case</w:t>
      </w:r>
      <w:r>
        <w:rPr>
          <w:sz w:val="20"/>
          <w:szCs w:val="20"/>
        </w:rPr>
        <w:t xml:space="preserve"> </w:t>
      </w:r>
      <w:r w:rsidRPr="00EE5376">
        <w:rPr>
          <w:sz w:val="20"/>
          <w:szCs w:val="20"/>
        </w:rPr>
        <w:t>basis.</w:t>
      </w:r>
      <w:r>
        <w:rPr>
          <w:sz w:val="20"/>
          <w:szCs w:val="20"/>
        </w:rPr>
        <w:t xml:space="preserve"> </w:t>
      </w:r>
      <w:r w:rsidRPr="00EE5376">
        <w:rPr>
          <w:sz w:val="20"/>
          <w:szCs w:val="20"/>
        </w:rPr>
        <w:t>Facilities in non-attainment are subject to stricter measures.</w:t>
      </w:r>
      <w:r>
        <w:rPr>
          <w:sz w:val="20"/>
          <w:szCs w:val="20"/>
        </w:rPr>
        <w:t xml:space="preserve"> </w:t>
      </w:r>
      <w:r w:rsidRPr="00EE5376">
        <w:rPr>
          <w:sz w:val="20"/>
          <w:szCs w:val="20"/>
        </w:rPr>
        <w:t>There,</w:t>
      </w:r>
      <w:r>
        <w:rPr>
          <w:sz w:val="20"/>
          <w:szCs w:val="20"/>
        </w:rPr>
        <w:t xml:space="preserve"> they must comply with the ‘</w:t>
      </w:r>
      <w:r w:rsidRPr="00EE5376">
        <w:rPr>
          <w:sz w:val="20"/>
          <w:szCs w:val="20"/>
        </w:rPr>
        <w:t>l</w:t>
      </w:r>
      <w:r>
        <w:rPr>
          <w:sz w:val="20"/>
          <w:szCs w:val="20"/>
        </w:rPr>
        <w:t xml:space="preserve">owest achievable emission rate’ </w:t>
      </w:r>
      <w:r w:rsidRPr="00EE5376">
        <w:rPr>
          <w:sz w:val="20"/>
          <w:szCs w:val="20"/>
        </w:rPr>
        <w:t>(LAER),</w:t>
      </w:r>
      <w:r>
        <w:rPr>
          <w:sz w:val="20"/>
          <w:szCs w:val="20"/>
        </w:rPr>
        <w:t xml:space="preserve"> </w:t>
      </w:r>
      <w:r w:rsidRPr="00EE5376">
        <w:rPr>
          <w:sz w:val="20"/>
          <w:szCs w:val="20"/>
        </w:rPr>
        <w:t>which</w:t>
      </w:r>
      <w:r>
        <w:rPr>
          <w:sz w:val="20"/>
          <w:szCs w:val="20"/>
        </w:rPr>
        <w:t xml:space="preserve"> </w:t>
      </w:r>
      <w:r w:rsidRPr="00EE5376">
        <w:rPr>
          <w:sz w:val="20"/>
          <w:szCs w:val="20"/>
        </w:rPr>
        <w:t>requires, in addition to stringent emissions requirements, that the regulator weigh</w:t>
      </w:r>
      <w:r>
        <w:rPr>
          <w:sz w:val="20"/>
          <w:szCs w:val="20"/>
        </w:rPr>
        <w:t xml:space="preserve"> </w:t>
      </w:r>
      <w:r w:rsidRPr="00EE5376">
        <w:rPr>
          <w:sz w:val="20"/>
          <w:szCs w:val="20"/>
        </w:rPr>
        <w:t>benefits of new sources against their environmental costs.</w:t>
      </w:r>
      <w:r>
        <w:rPr>
          <w:sz w:val="20"/>
          <w:szCs w:val="20"/>
        </w:rPr>
        <w:t xml:space="preserve">” </w:t>
      </w:r>
      <w:proofErr w:type="gramStart"/>
      <w:r>
        <w:rPr>
          <w:sz w:val="20"/>
          <w:szCs w:val="20"/>
        </w:rPr>
        <w:t>Hoover,</w:t>
      </w:r>
      <w:proofErr w:type="gramEnd"/>
      <w:r>
        <w:rPr>
          <w:sz w:val="20"/>
          <w:szCs w:val="20"/>
        </w:rPr>
        <w:t xml:space="preserve"> </w:t>
      </w:r>
      <w:r>
        <w:rPr>
          <w:i/>
          <w:sz w:val="20"/>
          <w:szCs w:val="20"/>
        </w:rPr>
        <w:t xml:space="preserve">supra </w:t>
      </w:r>
      <w:r>
        <w:rPr>
          <w:sz w:val="20"/>
          <w:szCs w:val="20"/>
        </w:rPr>
        <w:t>note 67, at 11 (citing 42 U.S.C. §§ 7475, 7503, 7475(a)(4), 7479(3)).</w:t>
      </w:r>
    </w:p>
  </w:footnote>
  <w:footnote w:id="109">
    <w:p w14:paraId="20F0E38A" w14:textId="5AB3284B" w:rsidR="0084636B" w:rsidRPr="00516941" w:rsidRDefault="0084636B" w:rsidP="001762E5">
      <w:pPr>
        <w:pStyle w:val="FootnoteText"/>
        <w:spacing w:before="60"/>
        <w:jc w:val="both"/>
        <w:rPr>
          <w:i/>
        </w:rPr>
      </w:pPr>
      <w:r>
        <w:rPr>
          <w:rStyle w:val="FootnoteReference"/>
        </w:rPr>
        <w:footnoteRef/>
      </w:r>
      <w:r>
        <w:t xml:space="preserve"> </w:t>
      </w:r>
      <w:r w:rsidRPr="0096785D">
        <w:rPr>
          <w:sz w:val="20"/>
          <w:szCs w:val="20"/>
        </w:rPr>
        <w:t xml:space="preserve">Bearden, </w:t>
      </w:r>
      <w:r w:rsidRPr="0096785D">
        <w:rPr>
          <w:i/>
          <w:sz w:val="20"/>
          <w:szCs w:val="20"/>
        </w:rPr>
        <w:t xml:space="preserve">supra </w:t>
      </w:r>
      <w:r>
        <w:rPr>
          <w:sz w:val="20"/>
          <w:szCs w:val="20"/>
        </w:rPr>
        <w:t>note 88, at 3.</w:t>
      </w:r>
    </w:p>
  </w:footnote>
  <w:footnote w:id="110">
    <w:p w14:paraId="477A95E9" w14:textId="3A99091F" w:rsidR="0084636B" w:rsidRPr="00521F9E" w:rsidRDefault="0084636B" w:rsidP="001762E5">
      <w:pPr>
        <w:pStyle w:val="FootnoteText"/>
        <w:spacing w:before="60"/>
        <w:jc w:val="both"/>
      </w:pPr>
      <w:r>
        <w:rPr>
          <w:rStyle w:val="FootnoteReference"/>
        </w:rPr>
        <w:footnoteRef/>
      </w:r>
      <w:r>
        <w:t xml:space="preserve"> </w:t>
      </w:r>
      <w:r w:rsidRPr="00516941">
        <w:rPr>
          <w:i/>
          <w:sz w:val="20"/>
          <w:szCs w:val="20"/>
        </w:rPr>
        <w:t>Id.</w:t>
      </w:r>
      <w:r>
        <w:rPr>
          <w:sz w:val="20"/>
          <w:szCs w:val="20"/>
        </w:rPr>
        <w:t xml:space="preserve">; Copeland, </w:t>
      </w:r>
      <w:r>
        <w:rPr>
          <w:i/>
          <w:sz w:val="20"/>
          <w:szCs w:val="20"/>
        </w:rPr>
        <w:t xml:space="preserve">supra </w:t>
      </w:r>
      <w:r>
        <w:rPr>
          <w:sz w:val="20"/>
          <w:szCs w:val="20"/>
        </w:rPr>
        <w:t>note 92, at 11.</w:t>
      </w:r>
    </w:p>
  </w:footnote>
  <w:footnote w:id="111">
    <w:p w14:paraId="1737B090" w14:textId="56D7A510" w:rsidR="0084636B" w:rsidRPr="00D01F8B" w:rsidRDefault="0084636B" w:rsidP="005A6105">
      <w:pPr>
        <w:pStyle w:val="FootnoteText"/>
        <w:spacing w:before="60"/>
        <w:jc w:val="both"/>
        <w:rPr>
          <w:sz w:val="20"/>
        </w:rPr>
      </w:pPr>
      <w:r>
        <w:rPr>
          <w:rStyle w:val="FootnoteReference"/>
        </w:rPr>
        <w:footnoteRef/>
      </w:r>
      <w:r>
        <w:t xml:space="preserve"> </w:t>
      </w:r>
      <w:r>
        <w:rPr>
          <w:sz w:val="20"/>
        </w:rPr>
        <w:t xml:space="preserve">The CAA does not provide a blanket exception for agricultural activities. </w:t>
      </w:r>
      <w:proofErr w:type="gramStart"/>
      <w:r w:rsidRPr="00D01F8B">
        <w:rPr>
          <w:sz w:val="20"/>
        </w:rPr>
        <w:t>Hoover</w:t>
      </w:r>
      <w:r>
        <w:rPr>
          <w:sz w:val="20"/>
        </w:rPr>
        <w:t>,</w:t>
      </w:r>
      <w:proofErr w:type="gramEnd"/>
      <w:r>
        <w:rPr>
          <w:sz w:val="20"/>
        </w:rPr>
        <w:t xml:space="preserve"> </w:t>
      </w:r>
      <w:r>
        <w:rPr>
          <w:i/>
          <w:sz w:val="20"/>
        </w:rPr>
        <w:t xml:space="preserve">supra </w:t>
      </w:r>
      <w:r>
        <w:rPr>
          <w:sz w:val="20"/>
        </w:rPr>
        <w:t xml:space="preserve">note 67, at 11. </w:t>
      </w:r>
      <w:r w:rsidRPr="00D01F8B">
        <w:rPr>
          <w:sz w:val="20"/>
        </w:rPr>
        <w:t>Indeed</w:t>
      </w:r>
      <w:r>
        <w:rPr>
          <w:sz w:val="20"/>
        </w:rPr>
        <w:t xml:space="preserve">, EPA has stated that CAFOs “‘plainly fit the definition of stationary source.’” </w:t>
      </w:r>
      <w:r>
        <w:rPr>
          <w:i/>
          <w:sz w:val="20"/>
        </w:rPr>
        <w:t xml:space="preserve">Id. </w:t>
      </w:r>
      <w:r>
        <w:rPr>
          <w:sz w:val="20"/>
        </w:rPr>
        <w:t xml:space="preserve">(citing 67 Fed. </w:t>
      </w:r>
      <w:proofErr w:type="gramStart"/>
      <w:r>
        <w:rPr>
          <w:sz w:val="20"/>
        </w:rPr>
        <w:t>Reg. 63,556-57).</w:t>
      </w:r>
      <w:proofErr w:type="gramEnd"/>
    </w:p>
  </w:footnote>
  <w:footnote w:id="112">
    <w:p w14:paraId="0BD378F7" w14:textId="689FC30A" w:rsidR="0084636B" w:rsidRPr="0088398C" w:rsidRDefault="0084636B" w:rsidP="0088398C">
      <w:pPr>
        <w:pStyle w:val="FootnoteText"/>
        <w:spacing w:before="60"/>
        <w:jc w:val="both"/>
        <w:rPr>
          <w:i/>
        </w:rPr>
      </w:pPr>
      <w:r>
        <w:rPr>
          <w:rStyle w:val="FootnoteReference"/>
        </w:rPr>
        <w:footnoteRef/>
      </w:r>
      <w:r>
        <w:t xml:space="preserve"> </w:t>
      </w:r>
      <w:r w:rsidRPr="007C4719">
        <w:rPr>
          <w:smallCaps/>
          <w:sz w:val="20"/>
          <w:szCs w:val="20"/>
        </w:rPr>
        <w:t xml:space="preserve">Claudia Copeland, Cong. Research Serv., RL 32947, Air Quality Issues and Animal Agriculture: </w:t>
      </w:r>
      <w:r>
        <w:rPr>
          <w:smallCaps/>
          <w:sz w:val="20"/>
          <w:szCs w:val="20"/>
        </w:rPr>
        <w:t>EPA’s Air Compliance Agreement</w:t>
      </w:r>
      <w:r w:rsidRPr="007C4719">
        <w:rPr>
          <w:smallCaps/>
          <w:sz w:val="20"/>
          <w:szCs w:val="20"/>
        </w:rPr>
        <w:t xml:space="preserve"> </w:t>
      </w:r>
      <w:r>
        <w:rPr>
          <w:smallCaps/>
          <w:sz w:val="20"/>
          <w:szCs w:val="20"/>
        </w:rPr>
        <w:t xml:space="preserve">2 </w:t>
      </w:r>
      <w:r>
        <w:rPr>
          <w:sz w:val="20"/>
          <w:szCs w:val="20"/>
        </w:rPr>
        <w:t xml:space="preserve">(2014), </w:t>
      </w:r>
      <w:r w:rsidRPr="00424191">
        <w:rPr>
          <w:sz w:val="20"/>
          <w:szCs w:val="20"/>
        </w:rPr>
        <w:t>http://nationalaglawcenter.org/wp-content/uploads/assets/crs/RL32947.pdf</w:t>
      </w:r>
      <w:r>
        <w:rPr>
          <w:sz w:val="20"/>
          <w:szCs w:val="20"/>
        </w:rPr>
        <w:t xml:space="preserve">. But there is a lack of reliable data on CAFO emissions, so it is possible that more CAFOs exceed thresholds than are currently known. </w:t>
      </w:r>
      <w:r>
        <w:rPr>
          <w:i/>
          <w:sz w:val="20"/>
          <w:szCs w:val="20"/>
        </w:rPr>
        <w:t xml:space="preserve">Id. </w:t>
      </w:r>
      <w:r>
        <w:rPr>
          <w:sz w:val="20"/>
          <w:szCs w:val="20"/>
        </w:rPr>
        <w:t>“</w:t>
      </w:r>
      <w:r w:rsidRPr="0088398C">
        <w:rPr>
          <w:sz w:val="20"/>
        </w:rPr>
        <w:t>Resolving questions about AFOs’ contribution to total air pollution and corresponding ecological and possible public health effects is hindered by a lack of adequate, accurate, scientifically credible data on air emissions.</w:t>
      </w:r>
      <w:r>
        <w:rPr>
          <w:sz w:val="20"/>
        </w:rPr>
        <w:t xml:space="preserve">” </w:t>
      </w:r>
      <w:r>
        <w:rPr>
          <w:i/>
          <w:sz w:val="20"/>
        </w:rPr>
        <w:t>Id.</w:t>
      </w:r>
    </w:p>
  </w:footnote>
  <w:footnote w:id="113">
    <w:p w14:paraId="2288C67B" w14:textId="1352AD89" w:rsidR="0084636B" w:rsidRPr="00FF4B75" w:rsidRDefault="0084636B" w:rsidP="00B3436E">
      <w:pPr>
        <w:pStyle w:val="FootnoteText"/>
        <w:spacing w:before="60"/>
        <w:jc w:val="both"/>
      </w:pPr>
      <w:r>
        <w:rPr>
          <w:rStyle w:val="FootnoteReference"/>
        </w:rPr>
        <w:footnoteRef/>
      </w:r>
      <w:r>
        <w:t xml:space="preserve"> </w:t>
      </w:r>
      <w:r w:rsidRPr="00516941">
        <w:rPr>
          <w:i/>
          <w:sz w:val="20"/>
          <w:szCs w:val="20"/>
        </w:rPr>
        <w:t>Id.</w:t>
      </w:r>
      <w:r>
        <w:rPr>
          <w:i/>
          <w:sz w:val="20"/>
          <w:szCs w:val="20"/>
        </w:rPr>
        <w:t xml:space="preserve"> </w:t>
      </w:r>
    </w:p>
  </w:footnote>
  <w:footnote w:id="114">
    <w:p w14:paraId="123C8312" w14:textId="02E6B4BF" w:rsidR="0084636B" w:rsidRDefault="0084636B" w:rsidP="00C9211A">
      <w:pPr>
        <w:pStyle w:val="FootnoteText"/>
        <w:spacing w:before="60"/>
        <w:jc w:val="both"/>
      </w:pPr>
      <w:r>
        <w:rPr>
          <w:rStyle w:val="FootnoteReference"/>
        </w:rPr>
        <w:footnoteRef/>
      </w:r>
      <w:r>
        <w:t xml:space="preserve"> </w:t>
      </w:r>
      <w:r w:rsidRPr="00C9211A">
        <w:rPr>
          <w:sz w:val="20"/>
          <w:szCs w:val="20"/>
        </w:rPr>
        <w:t xml:space="preserve">74 </w:t>
      </w:r>
      <w:r>
        <w:rPr>
          <w:sz w:val="20"/>
          <w:szCs w:val="20"/>
        </w:rPr>
        <w:t>Fed. Reg.</w:t>
      </w:r>
      <w:r w:rsidRPr="00C9211A">
        <w:rPr>
          <w:sz w:val="20"/>
          <w:szCs w:val="20"/>
        </w:rPr>
        <w:t xml:space="preserve"> 56260, October 30, 2009.</w:t>
      </w:r>
      <w:r w:rsidRPr="00C9211A">
        <w:t xml:space="preserve"> </w:t>
      </w:r>
    </w:p>
  </w:footnote>
  <w:footnote w:id="115">
    <w:p w14:paraId="5144845D" w14:textId="4B5F7612" w:rsidR="0084636B" w:rsidRDefault="0084636B" w:rsidP="001D12F4">
      <w:pPr>
        <w:pStyle w:val="FootnoteText"/>
        <w:spacing w:before="60"/>
        <w:jc w:val="both"/>
      </w:pPr>
      <w:r>
        <w:rPr>
          <w:rStyle w:val="FootnoteReference"/>
        </w:rPr>
        <w:footnoteRef/>
      </w:r>
      <w:r>
        <w:t xml:space="preserve"> </w:t>
      </w:r>
      <w:r w:rsidRPr="001D12F4">
        <w:rPr>
          <w:smallCaps/>
          <w:sz w:val="20"/>
          <w:szCs w:val="20"/>
        </w:rPr>
        <w:t>Megan Stubbs, Cong. Research Serv., RL 41622, Environmental Regulation and Agriculture</w:t>
      </w:r>
      <w:r>
        <w:rPr>
          <w:sz w:val="20"/>
          <w:szCs w:val="20"/>
        </w:rPr>
        <w:t xml:space="preserve"> 4-5</w:t>
      </w:r>
      <w:r w:rsidRPr="001D12F4">
        <w:rPr>
          <w:sz w:val="20"/>
          <w:szCs w:val="20"/>
        </w:rPr>
        <w:t xml:space="preserve"> (2014).</w:t>
      </w:r>
    </w:p>
  </w:footnote>
  <w:footnote w:id="116">
    <w:p w14:paraId="29073365" w14:textId="6A7BA24B" w:rsidR="0084636B" w:rsidRDefault="0084636B" w:rsidP="00DC4172">
      <w:pPr>
        <w:pStyle w:val="FootnoteText"/>
        <w:spacing w:before="60"/>
      </w:pPr>
      <w:r>
        <w:rPr>
          <w:rStyle w:val="FootnoteReference"/>
        </w:rPr>
        <w:footnoteRef/>
      </w:r>
      <w:r>
        <w:t xml:space="preserve"> </w:t>
      </w:r>
      <w:r>
        <w:rPr>
          <w:sz w:val="20"/>
          <w:szCs w:val="20"/>
        </w:rPr>
        <w:t xml:space="preserve">Copeland, </w:t>
      </w:r>
      <w:r>
        <w:rPr>
          <w:i/>
          <w:sz w:val="20"/>
          <w:szCs w:val="20"/>
        </w:rPr>
        <w:t xml:space="preserve">supra </w:t>
      </w:r>
      <w:r>
        <w:rPr>
          <w:sz w:val="20"/>
          <w:szCs w:val="20"/>
        </w:rPr>
        <w:t>note 112, at 2.</w:t>
      </w:r>
    </w:p>
  </w:footnote>
  <w:footnote w:id="117">
    <w:p w14:paraId="41677611" w14:textId="1B46AEB0" w:rsidR="0084636B" w:rsidRPr="000964CA" w:rsidRDefault="0084636B" w:rsidP="00DC4172">
      <w:pPr>
        <w:pStyle w:val="FootnoteText"/>
        <w:spacing w:before="60"/>
      </w:pPr>
      <w:r>
        <w:rPr>
          <w:rStyle w:val="FootnoteReference"/>
        </w:rPr>
        <w:footnoteRef/>
      </w:r>
      <w:r>
        <w:t xml:space="preserve"> </w:t>
      </w:r>
      <w:proofErr w:type="gramStart"/>
      <w:r w:rsidRPr="00516941">
        <w:rPr>
          <w:i/>
          <w:sz w:val="20"/>
          <w:szCs w:val="20"/>
        </w:rPr>
        <w:t>Id.</w:t>
      </w:r>
      <w:r>
        <w:rPr>
          <w:i/>
          <w:sz w:val="20"/>
          <w:szCs w:val="20"/>
        </w:rPr>
        <w:t xml:space="preserve"> </w:t>
      </w:r>
      <w:r>
        <w:rPr>
          <w:sz w:val="20"/>
          <w:szCs w:val="20"/>
        </w:rPr>
        <w:t>at 1.</w:t>
      </w:r>
      <w:proofErr w:type="gramEnd"/>
    </w:p>
  </w:footnote>
  <w:footnote w:id="118">
    <w:p w14:paraId="762AB6D5" w14:textId="16481C2A" w:rsidR="0084636B" w:rsidRDefault="0084636B" w:rsidP="00DC4172">
      <w:pPr>
        <w:pStyle w:val="FootnoteText"/>
        <w:spacing w:before="60"/>
        <w:jc w:val="both"/>
      </w:pPr>
      <w:r>
        <w:rPr>
          <w:rStyle w:val="FootnoteReference"/>
        </w:rPr>
        <w:footnoteRef/>
      </w:r>
      <w:r>
        <w:t xml:space="preserve"> </w:t>
      </w:r>
      <w:r w:rsidRPr="000964CA">
        <w:rPr>
          <w:sz w:val="20"/>
        </w:rPr>
        <w:t xml:space="preserve">70 </w:t>
      </w:r>
      <w:r>
        <w:rPr>
          <w:sz w:val="20"/>
        </w:rPr>
        <w:t>Fed. Reg.</w:t>
      </w:r>
      <w:r w:rsidRPr="000964CA">
        <w:rPr>
          <w:sz w:val="20"/>
        </w:rPr>
        <w:t xml:space="preserve"> 4958, January 31, 2005. </w:t>
      </w:r>
    </w:p>
  </w:footnote>
  <w:footnote w:id="119">
    <w:p w14:paraId="1A3061FE" w14:textId="47E093E7" w:rsidR="0084636B" w:rsidRPr="000964CA" w:rsidRDefault="0084636B" w:rsidP="00DC4172">
      <w:pPr>
        <w:pStyle w:val="FootnoteText"/>
        <w:spacing w:before="60"/>
      </w:pPr>
      <w:r>
        <w:rPr>
          <w:rStyle w:val="FootnoteReference"/>
        </w:rPr>
        <w:footnoteRef/>
      </w:r>
      <w:r>
        <w:t xml:space="preserve"> </w:t>
      </w:r>
      <w:r>
        <w:rPr>
          <w:sz w:val="20"/>
          <w:szCs w:val="20"/>
        </w:rPr>
        <w:t xml:space="preserve">Copeland, </w:t>
      </w:r>
      <w:r>
        <w:rPr>
          <w:i/>
          <w:sz w:val="20"/>
          <w:szCs w:val="20"/>
        </w:rPr>
        <w:t xml:space="preserve">supra </w:t>
      </w:r>
      <w:r>
        <w:rPr>
          <w:sz w:val="20"/>
          <w:szCs w:val="20"/>
        </w:rPr>
        <w:t>note 112, at 3.</w:t>
      </w:r>
    </w:p>
  </w:footnote>
  <w:footnote w:id="120">
    <w:p w14:paraId="00F5E477" w14:textId="798ADDD0" w:rsidR="0084636B" w:rsidRDefault="0084636B" w:rsidP="00DC4172">
      <w:pPr>
        <w:pStyle w:val="FootnoteText"/>
        <w:spacing w:before="60"/>
      </w:pPr>
      <w:r>
        <w:rPr>
          <w:rStyle w:val="FootnoteReference"/>
        </w:rPr>
        <w:footnoteRef/>
      </w:r>
      <w:r>
        <w:t xml:space="preserve"> </w:t>
      </w:r>
      <w:r w:rsidRPr="00516941">
        <w:rPr>
          <w:i/>
          <w:sz w:val="20"/>
          <w:szCs w:val="20"/>
        </w:rPr>
        <w:t>Id.</w:t>
      </w:r>
    </w:p>
  </w:footnote>
  <w:footnote w:id="121">
    <w:p w14:paraId="3EA707BE" w14:textId="41891F48" w:rsidR="0084636B" w:rsidRPr="007A0011" w:rsidRDefault="0084636B" w:rsidP="00DC4172">
      <w:pPr>
        <w:pStyle w:val="FootnoteText"/>
        <w:spacing w:before="60"/>
        <w:jc w:val="both"/>
        <w:rPr>
          <w:highlight w:val="yellow"/>
        </w:rPr>
      </w:pPr>
      <w:r w:rsidRPr="00DC4172">
        <w:rPr>
          <w:rStyle w:val="FootnoteReference"/>
        </w:rPr>
        <w:footnoteRef/>
      </w:r>
      <w:r w:rsidRPr="00DC4172">
        <w:t xml:space="preserve"> </w:t>
      </w:r>
      <w:proofErr w:type="gramStart"/>
      <w:r w:rsidRPr="00DC4172">
        <w:rPr>
          <w:i/>
          <w:sz w:val="20"/>
          <w:szCs w:val="20"/>
        </w:rPr>
        <w:t>Id.</w:t>
      </w:r>
      <w:r>
        <w:rPr>
          <w:i/>
          <w:sz w:val="20"/>
          <w:szCs w:val="20"/>
        </w:rPr>
        <w:t xml:space="preserve"> </w:t>
      </w:r>
      <w:r>
        <w:rPr>
          <w:sz w:val="20"/>
          <w:szCs w:val="20"/>
        </w:rPr>
        <w:t>at 4.</w:t>
      </w:r>
      <w:proofErr w:type="gramEnd"/>
      <w:r w:rsidRPr="00DC4172">
        <w:rPr>
          <w:i/>
          <w:sz w:val="20"/>
          <w:szCs w:val="20"/>
        </w:rPr>
        <w:t xml:space="preserve"> </w:t>
      </w:r>
      <w:r w:rsidRPr="00DC4172">
        <w:rPr>
          <w:sz w:val="20"/>
          <w:szCs w:val="20"/>
        </w:rPr>
        <w:t xml:space="preserve">Under the agreement, CAFOs are also largely exempt from the reporting requirements of the Comprehensive Environmental Response, Compensation, and Liability Act (CERCLA) and the Emergency Planning and Community Right to Know Act (EPCRA) Comprehensive Environmental Response, </w:t>
      </w:r>
      <w:r>
        <w:rPr>
          <w:sz w:val="20"/>
          <w:szCs w:val="20"/>
        </w:rPr>
        <w:t xml:space="preserve">Compensation, and Liability Act. </w:t>
      </w:r>
      <w:proofErr w:type="gramStart"/>
      <w:r>
        <w:rPr>
          <w:sz w:val="20"/>
          <w:szCs w:val="20"/>
        </w:rPr>
        <w:t>42 U.S.C. §§ 9601–9675 (2016);</w:t>
      </w:r>
      <w:r w:rsidRPr="00DC4172">
        <w:rPr>
          <w:sz w:val="20"/>
          <w:szCs w:val="20"/>
        </w:rPr>
        <w:t xml:space="preserve"> 42 U.S.C.</w:t>
      </w:r>
      <w:r>
        <w:rPr>
          <w:sz w:val="20"/>
          <w:szCs w:val="20"/>
        </w:rPr>
        <w:t xml:space="preserve"> §§</w:t>
      </w:r>
      <w:r w:rsidRPr="00DC4172">
        <w:rPr>
          <w:sz w:val="20"/>
          <w:szCs w:val="20"/>
        </w:rPr>
        <w:t xml:space="preserve"> 11001–11050 (2016).</w:t>
      </w:r>
      <w:proofErr w:type="gramEnd"/>
      <w:r>
        <w:rPr>
          <w:sz w:val="20"/>
          <w:szCs w:val="20"/>
        </w:rPr>
        <w:t xml:space="preserve"> EPA finalized this exemption on in late 2008, </w:t>
      </w:r>
      <w:r w:rsidRPr="007A0011">
        <w:rPr>
          <w:sz w:val="20"/>
          <w:szCs w:val="20"/>
        </w:rPr>
        <w:t>73 Fed. Reg. at 76,948</w:t>
      </w:r>
      <w:r>
        <w:rPr>
          <w:sz w:val="20"/>
          <w:szCs w:val="20"/>
        </w:rPr>
        <w:t xml:space="preserve"> (Dec. 18, 2008), but this rule was recently overturned. </w:t>
      </w:r>
      <w:proofErr w:type="spellStart"/>
      <w:r>
        <w:rPr>
          <w:sz w:val="20"/>
          <w:szCs w:val="20"/>
        </w:rPr>
        <w:t>Waterkeeper</w:t>
      </w:r>
      <w:proofErr w:type="spellEnd"/>
      <w:r>
        <w:rPr>
          <w:sz w:val="20"/>
          <w:szCs w:val="20"/>
        </w:rPr>
        <w:t xml:space="preserve"> Alliance, et al v. EPA, No. 09-1017 (D.C. Cir. </w:t>
      </w:r>
      <w:proofErr w:type="gramStart"/>
      <w:r>
        <w:rPr>
          <w:sz w:val="20"/>
          <w:szCs w:val="20"/>
        </w:rPr>
        <w:t>Apr. 11, 2017).</w:t>
      </w:r>
      <w:proofErr w:type="gramEnd"/>
      <w:r>
        <w:rPr>
          <w:sz w:val="20"/>
          <w:szCs w:val="20"/>
        </w:rPr>
        <w:t xml:space="preserve"> It remains to be seen whether EPA will enforce CERCLA and EPCRA against CAFO owners and operators.</w:t>
      </w:r>
    </w:p>
  </w:footnote>
  <w:footnote w:id="122">
    <w:p w14:paraId="750DDFF7" w14:textId="706544B7" w:rsidR="0084636B" w:rsidRDefault="0084636B" w:rsidP="009945C6">
      <w:pPr>
        <w:pStyle w:val="FootnoteText"/>
        <w:spacing w:before="60"/>
        <w:jc w:val="both"/>
      </w:pPr>
      <w:r>
        <w:rPr>
          <w:rStyle w:val="FootnoteReference"/>
        </w:rPr>
        <w:footnoteRef/>
      </w:r>
      <w:r>
        <w:t xml:space="preserve"> </w:t>
      </w:r>
      <w:r>
        <w:rPr>
          <w:sz w:val="20"/>
          <w:szCs w:val="20"/>
        </w:rPr>
        <w:t xml:space="preserve">Copeland, </w:t>
      </w:r>
      <w:r>
        <w:rPr>
          <w:i/>
          <w:sz w:val="20"/>
          <w:szCs w:val="20"/>
        </w:rPr>
        <w:t xml:space="preserve">supra </w:t>
      </w:r>
      <w:r>
        <w:rPr>
          <w:sz w:val="20"/>
          <w:szCs w:val="20"/>
        </w:rPr>
        <w:t xml:space="preserve">note 112, at 5. Critics argue that </w:t>
      </w:r>
      <w:r w:rsidRPr="00CD4D1F">
        <w:rPr>
          <w:sz w:val="20"/>
          <w:szCs w:val="20"/>
        </w:rPr>
        <w:t>“EPA has authority under CAA Section 114 to require that AFOs provide emission monitoring data, without the need to provide an industry-wide exemption</w:t>
      </w:r>
      <w:r>
        <w:rPr>
          <w:sz w:val="20"/>
          <w:szCs w:val="20"/>
        </w:rPr>
        <w:t xml:space="preserve">.” </w:t>
      </w:r>
      <w:proofErr w:type="gramStart"/>
      <w:r>
        <w:rPr>
          <w:i/>
          <w:sz w:val="20"/>
          <w:szCs w:val="20"/>
        </w:rPr>
        <w:t xml:space="preserve">Id. </w:t>
      </w:r>
      <w:r>
        <w:rPr>
          <w:sz w:val="20"/>
          <w:szCs w:val="20"/>
        </w:rPr>
        <w:t>at 6.</w:t>
      </w:r>
      <w:proofErr w:type="gramEnd"/>
      <w:r>
        <w:rPr>
          <w:sz w:val="20"/>
          <w:szCs w:val="20"/>
        </w:rPr>
        <w:t xml:space="preserve"> </w:t>
      </w:r>
    </w:p>
  </w:footnote>
  <w:footnote w:id="123">
    <w:p w14:paraId="55ECBE87" w14:textId="285F8585" w:rsidR="0084636B" w:rsidRPr="009945C6" w:rsidRDefault="0084636B">
      <w:pPr>
        <w:pStyle w:val="FootnoteText"/>
        <w:rPr>
          <w:sz w:val="20"/>
        </w:rPr>
      </w:pPr>
      <w:r>
        <w:rPr>
          <w:rStyle w:val="FootnoteReference"/>
        </w:rPr>
        <w:footnoteRef/>
      </w:r>
      <w:r>
        <w:t xml:space="preserve"> </w:t>
      </w:r>
      <w:proofErr w:type="gramStart"/>
      <w:r>
        <w:rPr>
          <w:i/>
          <w:sz w:val="20"/>
        </w:rPr>
        <w:t xml:space="preserve">Id. </w:t>
      </w:r>
      <w:r>
        <w:rPr>
          <w:sz w:val="20"/>
        </w:rPr>
        <w:t>at 10.</w:t>
      </w:r>
      <w:proofErr w:type="gramEnd"/>
    </w:p>
  </w:footnote>
  <w:footnote w:id="124">
    <w:p w14:paraId="14F32F18" w14:textId="4927634F" w:rsidR="0084636B" w:rsidRPr="00240D99" w:rsidRDefault="0084636B" w:rsidP="00240D99">
      <w:pPr>
        <w:pStyle w:val="FootnoteText"/>
        <w:spacing w:before="60"/>
        <w:jc w:val="both"/>
        <w:rPr>
          <w:sz w:val="20"/>
          <w:szCs w:val="20"/>
        </w:rPr>
      </w:pPr>
      <w:r>
        <w:rPr>
          <w:rStyle w:val="FootnoteReference"/>
        </w:rPr>
        <w:footnoteRef/>
      </w:r>
      <w:r>
        <w:t xml:space="preserve"> </w:t>
      </w:r>
      <w:proofErr w:type="gramStart"/>
      <w:r w:rsidRPr="00424191">
        <w:rPr>
          <w:i/>
          <w:sz w:val="20"/>
          <w:szCs w:val="20"/>
        </w:rPr>
        <w:t xml:space="preserve">Id. </w:t>
      </w:r>
      <w:r w:rsidRPr="00424191">
        <w:rPr>
          <w:sz w:val="20"/>
          <w:szCs w:val="20"/>
        </w:rPr>
        <w:t xml:space="preserve">at 11 (citing </w:t>
      </w:r>
      <w:r w:rsidRPr="00424191">
        <w:rPr>
          <w:smallCaps/>
          <w:sz w:val="20"/>
          <w:szCs w:val="20"/>
        </w:rPr>
        <w:t>Environmental Integrity Project, Hazardous Pollution from Factory Farms: An Analysis of EPA’s National Air Emissions Monitoring Study Data</w:t>
      </w:r>
      <w:r w:rsidRPr="00424191">
        <w:rPr>
          <w:sz w:val="20"/>
          <w:szCs w:val="20"/>
        </w:rPr>
        <w:t xml:space="preserve"> </w:t>
      </w:r>
      <w:r>
        <w:rPr>
          <w:sz w:val="20"/>
          <w:szCs w:val="20"/>
        </w:rPr>
        <w:t xml:space="preserve">(Mar. </w:t>
      </w:r>
      <w:r w:rsidRPr="00424191">
        <w:rPr>
          <w:sz w:val="20"/>
          <w:szCs w:val="20"/>
        </w:rPr>
        <w:t>2011</w:t>
      </w:r>
      <w:r>
        <w:rPr>
          <w:sz w:val="20"/>
          <w:szCs w:val="20"/>
        </w:rPr>
        <w:t>)</w:t>
      </w:r>
      <w:r w:rsidRPr="00424191">
        <w:rPr>
          <w:sz w:val="20"/>
          <w:szCs w:val="20"/>
        </w:rPr>
        <w:t>, http://www.environmentalintegrity.org/documents/ HazardousPollutantsfromFactoryFarms.pdf.</w:t>
      </w:r>
      <w:r>
        <w:rPr>
          <w:sz w:val="20"/>
          <w:szCs w:val="20"/>
        </w:rPr>
        <w:t>).</w:t>
      </w:r>
      <w:proofErr w:type="gramEnd"/>
      <w:r w:rsidRPr="00424191">
        <w:rPr>
          <w:sz w:val="20"/>
          <w:szCs w:val="20"/>
        </w:rPr>
        <w:t xml:space="preserve"> </w:t>
      </w:r>
    </w:p>
  </w:footnote>
  <w:footnote w:id="125">
    <w:p w14:paraId="4C13D6EA" w14:textId="3583E1CD" w:rsidR="0084636B" w:rsidRPr="00240D99" w:rsidRDefault="0084636B" w:rsidP="00240D99">
      <w:pPr>
        <w:pStyle w:val="FootnoteText"/>
        <w:spacing w:before="60"/>
        <w:jc w:val="both"/>
        <w:rPr>
          <w:sz w:val="20"/>
          <w:szCs w:val="20"/>
        </w:rPr>
      </w:pPr>
      <w:r>
        <w:rPr>
          <w:rStyle w:val="FootnoteReference"/>
        </w:rPr>
        <w:footnoteRef/>
      </w:r>
      <w:r>
        <w:t xml:space="preserve"> </w:t>
      </w:r>
      <w:r w:rsidRPr="00240D99">
        <w:rPr>
          <w:sz w:val="20"/>
          <w:szCs w:val="20"/>
        </w:rPr>
        <w:t xml:space="preserve">Hoover, </w:t>
      </w:r>
      <w:r w:rsidRPr="00240D99">
        <w:rPr>
          <w:i/>
          <w:sz w:val="20"/>
          <w:szCs w:val="20"/>
        </w:rPr>
        <w:t xml:space="preserve">supra </w:t>
      </w:r>
      <w:r>
        <w:rPr>
          <w:sz w:val="20"/>
          <w:szCs w:val="20"/>
        </w:rPr>
        <w:t>note 67</w:t>
      </w:r>
      <w:r w:rsidRPr="00240D99">
        <w:rPr>
          <w:sz w:val="20"/>
          <w:szCs w:val="20"/>
        </w:rPr>
        <w:t xml:space="preserve">, at 15 (citing </w:t>
      </w:r>
      <w:proofErr w:type="gramStart"/>
      <w:r w:rsidRPr="00240D99">
        <w:rPr>
          <w:sz w:val="20"/>
          <w:szCs w:val="20"/>
        </w:rPr>
        <w:t>76  Fed</w:t>
      </w:r>
      <w:proofErr w:type="gramEnd"/>
      <w:r w:rsidRPr="00240D99">
        <w:rPr>
          <w:sz w:val="20"/>
          <w:szCs w:val="20"/>
        </w:rPr>
        <w:t>. R</w:t>
      </w:r>
      <w:r>
        <w:rPr>
          <w:sz w:val="20"/>
          <w:szCs w:val="20"/>
        </w:rPr>
        <w:t>eg. 3060, 3061  (Jan. 19, 2011)).</w:t>
      </w:r>
    </w:p>
  </w:footnote>
  <w:footnote w:id="126">
    <w:p w14:paraId="303D645F" w14:textId="762FDF44" w:rsidR="0084636B" w:rsidRDefault="0084636B" w:rsidP="00A0291D">
      <w:pPr>
        <w:pStyle w:val="FootnoteText"/>
        <w:spacing w:before="60"/>
      </w:pPr>
      <w:r>
        <w:rPr>
          <w:rStyle w:val="FootnoteReference"/>
        </w:rPr>
        <w:footnoteRef/>
      </w:r>
      <w:r>
        <w:t xml:space="preserve"> </w:t>
      </w:r>
      <w:proofErr w:type="gramStart"/>
      <w:r w:rsidRPr="00585829">
        <w:rPr>
          <w:sz w:val="20"/>
          <w:szCs w:val="20"/>
        </w:rPr>
        <w:t xml:space="preserve">William </w:t>
      </w:r>
      <w:proofErr w:type="spellStart"/>
      <w:r w:rsidRPr="00585829">
        <w:rPr>
          <w:sz w:val="20"/>
          <w:szCs w:val="20"/>
        </w:rPr>
        <w:t>Aldred’s</w:t>
      </w:r>
      <w:proofErr w:type="spellEnd"/>
      <w:r w:rsidRPr="00585829">
        <w:rPr>
          <w:sz w:val="20"/>
          <w:szCs w:val="20"/>
        </w:rPr>
        <w:t xml:space="preserve"> Case, (1611) 77 Eng. Rep. 816; 9 Co. Rep. 57 b.</w:t>
      </w:r>
      <w:proofErr w:type="gramEnd"/>
    </w:p>
  </w:footnote>
  <w:footnote w:id="127">
    <w:p w14:paraId="5A1EFC7E" w14:textId="34924DFB" w:rsidR="0084636B" w:rsidRDefault="0084636B" w:rsidP="00076287">
      <w:pPr>
        <w:pStyle w:val="FootnoteText"/>
        <w:spacing w:before="60"/>
        <w:jc w:val="both"/>
      </w:pPr>
      <w:r>
        <w:rPr>
          <w:rStyle w:val="FootnoteReference"/>
        </w:rPr>
        <w:footnoteRef/>
      </w:r>
      <w:r>
        <w:t xml:space="preserve"> </w:t>
      </w:r>
      <w:proofErr w:type="gramStart"/>
      <w:r w:rsidRPr="00A0291D">
        <w:rPr>
          <w:sz w:val="20"/>
          <w:szCs w:val="20"/>
        </w:rPr>
        <w:t>Smart,</w:t>
      </w:r>
      <w:proofErr w:type="gramEnd"/>
      <w:r w:rsidRPr="00A0291D">
        <w:rPr>
          <w:sz w:val="20"/>
          <w:szCs w:val="20"/>
        </w:rPr>
        <w:t xml:space="preserve"> </w:t>
      </w:r>
      <w:r w:rsidRPr="00A0291D">
        <w:rPr>
          <w:i/>
          <w:sz w:val="20"/>
          <w:szCs w:val="20"/>
        </w:rPr>
        <w:t xml:space="preserve">supra </w:t>
      </w:r>
      <w:r>
        <w:rPr>
          <w:sz w:val="20"/>
          <w:szCs w:val="20"/>
        </w:rPr>
        <w:t>note 23, at 2098.</w:t>
      </w:r>
    </w:p>
  </w:footnote>
  <w:footnote w:id="128">
    <w:p w14:paraId="54FB16EB" w14:textId="64E46068" w:rsidR="0084636B" w:rsidRPr="00076287" w:rsidRDefault="0084636B" w:rsidP="008C164F">
      <w:pPr>
        <w:pStyle w:val="FootnoteText"/>
        <w:spacing w:before="60"/>
        <w:jc w:val="both"/>
        <w:rPr>
          <w:i/>
        </w:rPr>
      </w:pPr>
      <w:r>
        <w:rPr>
          <w:rStyle w:val="FootnoteReference"/>
        </w:rPr>
        <w:footnoteRef/>
      </w:r>
      <w:r>
        <w:t xml:space="preserve"> </w:t>
      </w:r>
      <w:r w:rsidRPr="00076287">
        <w:rPr>
          <w:i/>
          <w:sz w:val="20"/>
          <w:szCs w:val="20"/>
        </w:rPr>
        <w:t xml:space="preserve">Id. </w:t>
      </w:r>
    </w:p>
  </w:footnote>
  <w:footnote w:id="129">
    <w:p w14:paraId="3B4783B2" w14:textId="04C56F0F" w:rsidR="0084636B" w:rsidRDefault="0084636B" w:rsidP="008C164F">
      <w:pPr>
        <w:pStyle w:val="FootnoteText"/>
        <w:spacing w:before="60"/>
        <w:jc w:val="both"/>
      </w:pPr>
      <w:r>
        <w:rPr>
          <w:rStyle w:val="FootnoteReference"/>
        </w:rPr>
        <w:footnoteRef/>
      </w:r>
      <w:r>
        <w:t xml:space="preserve"> </w:t>
      </w:r>
      <w:r w:rsidRPr="00964EFA">
        <w:rPr>
          <w:sz w:val="20"/>
          <w:szCs w:val="20"/>
        </w:rPr>
        <w:t xml:space="preserve">1979 N.C. Sess. Laws 140, 140–41 (codified as amended at </w:t>
      </w:r>
      <w:r w:rsidRPr="00964EFA">
        <w:rPr>
          <w:smallCaps/>
          <w:sz w:val="20"/>
          <w:szCs w:val="20"/>
        </w:rPr>
        <w:t>N.C. Gen. Stat.</w:t>
      </w:r>
      <w:r w:rsidRPr="00964EFA">
        <w:rPr>
          <w:sz w:val="20"/>
          <w:szCs w:val="20"/>
        </w:rPr>
        <w:t xml:space="preserve"> §§ 106-700 to 106-701 (2016)).</w:t>
      </w:r>
    </w:p>
  </w:footnote>
  <w:footnote w:id="130">
    <w:p w14:paraId="6A7714D1" w14:textId="368AEA70" w:rsidR="0084636B" w:rsidRDefault="0084636B" w:rsidP="008C164F">
      <w:pPr>
        <w:pStyle w:val="FootnoteText"/>
        <w:spacing w:before="60"/>
        <w:jc w:val="both"/>
      </w:pPr>
      <w:r>
        <w:rPr>
          <w:rStyle w:val="FootnoteReference"/>
        </w:rPr>
        <w:footnoteRef/>
      </w:r>
      <w:r>
        <w:t xml:space="preserve"> </w:t>
      </w:r>
      <w:proofErr w:type="gramStart"/>
      <w:r w:rsidRPr="00A0291D">
        <w:rPr>
          <w:sz w:val="20"/>
          <w:szCs w:val="20"/>
        </w:rPr>
        <w:t>Smart,</w:t>
      </w:r>
      <w:proofErr w:type="gramEnd"/>
      <w:r w:rsidRPr="00A0291D">
        <w:rPr>
          <w:sz w:val="20"/>
          <w:szCs w:val="20"/>
        </w:rPr>
        <w:t xml:space="preserve"> </w:t>
      </w:r>
      <w:r w:rsidRPr="00A0291D">
        <w:rPr>
          <w:i/>
          <w:sz w:val="20"/>
          <w:szCs w:val="20"/>
        </w:rPr>
        <w:t xml:space="preserve">supra </w:t>
      </w:r>
      <w:r>
        <w:rPr>
          <w:sz w:val="20"/>
          <w:szCs w:val="20"/>
        </w:rPr>
        <w:t>note 23, at 2099.</w:t>
      </w:r>
    </w:p>
  </w:footnote>
  <w:footnote w:id="131">
    <w:p w14:paraId="6639EB45" w14:textId="766FE70F" w:rsidR="0084636B" w:rsidRPr="0065539B" w:rsidRDefault="0084636B" w:rsidP="008C164F">
      <w:pPr>
        <w:pStyle w:val="FootnoteText"/>
        <w:spacing w:before="60"/>
        <w:jc w:val="both"/>
      </w:pPr>
      <w:r>
        <w:rPr>
          <w:rStyle w:val="FootnoteReference"/>
        </w:rPr>
        <w:footnoteRef/>
      </w:r>
      <w:r>
        <w:t xml:space="preserve"> </w:t>
      </w:r>
      <w:proofErr w:type="gramStart"/>
      <w:r w:rsidRPr="0065539B">
        <w:rPr>
          <w:i/>
          <w:sz w:val="20"/>
          <w:szCs w:val="20"/>
        </w:rPr>
        <w:t>Id</w:t>
      </w:r>
      <w:r>
        <w:rPr>
          <w:i/>
          <w:sz w:val="20"/>
          <w:szCs w:val="20"/>
        </w:rPr>
        <w:t xml:space="preserve"> </w:t>
      </w:r>
      <w:r>
        <w:rPr>
          <w:sz w:val="20"/>
          <w:szCs w:val="20"/>
        </w:rPr>
        <w:t>at 2099-2100</w:t>
      </w:r>
      <w:r w:rsidRPr="0065539B">
        <w:rPr>
          <w:i/>
          <w:sz w:val="20"/>
          <w:szCs w:val="20"/>
        </w:rPr>
        <w:t>.</w:t>
      </w:r>
      <w:proofErr w:type="gramEnd"/>
      <w:r w:rsidRPr="0065539B">
        <w:rPr>
          <w:i/>
          <w:sz w:val="20"/>
          <w:szCs w:val="20"/>
        </w:rPr>
        <w:t xml:space="preserve"> </w:t>
      </w:r>
    </w:p>
  </w:footnote>
  <w:footnote w:id="132">
    <w:p w14:paraId="16C54272" w14:textId="13C54C37" w:rsidR="0084636B" w:rsidRPr="00C92531" w:rsidRDefault="0084636B" w:rsidP="008C164F">
      <w:pPr>
        <w:pStyle w:val="FootnoteText"/>
        <w:spacing w:before="60"/>
        <w:jc w:val="both"/>
        <w:rPr>
          <w:i/>
        </w:rPr>
      </w:pPr>
      <w:r>
        <w:rPr>
          <w:rStyle w:val="FootnoteReference"/>
        </w:rPr>
        <w:footnoteRef/>
      </w:r>
      <w:r>
        <w:t xml:space="preserve"> </w:t>
      </w:r>
      <w:r w:rsidRPr="005C1B55">
        <w:rPr>
          <w:i/>
          <w:sz w:val="20"/>
          <w:szCs w:val="20"/>
        </w:rPr>
        <w:t>Id.</w:t>
      </w:r>
      <w:r>
        <w:rPr>
          <w:i/>
        </w:rPr>
        <w:t xml:space="preserve"> </w:t>
      </w:r>
    </w:p>
  </w:footnote>
  <w:footnote w:id="133">
    <w:p w14:paraId="09A73E7C" w14:textId="79EB5C77" w:rsidR="0084636B" w:rsidRPr="00EC08C6" w:rsidRDefault="0084636B" w:rsidP="008C164F">
      <w:pPr>
        <w:pStyle w:val="FootnoteText"/>
        <w:spacing w:before="60"/>
      </w:pPr>
      <w:r>
        <w:rPr>
          <w:rStyle w:val="FootnoteReference"/>
        </w:rPr>
        <w:footnoteRef/>
      </w:r>
      <w:r>
        <w:t xml:space="preserve"> </w:t>
      </w:r>
      <w:proofErr w:type="gramStart"/>
      <w:r w:rsidRPr="005C1B55">
        <w:rPr>
          <w:i/>
          <w:sz w:val="20"/>
          <w:szCs w:val="20"/>
        </w:rPr>
        <w:t>Id.</w:t>
      </w:r>
      <w:r>
        <w:rPr>
          <w:i/>
          <w:sz w:val="20"/>
          <w:szCs w:val="20"/>
        </w:rPr>
        <w:t xml:space="preserve"> </w:t>
      </w:r>
      <w:r>
        <w:rPr>
          <w:sz w:val="20"/>
          <w:szCs w:val="20"/>
        </w:rPr>
        <w:t>at 2101.</w:t>
      </w:r>
      <w:proofErr w:type="gramEnd"/>
    </w:p>
  </w:footnote>
  <w:footnote w:id="134">
    <w:p w14:paraId="0919FC23" w14:textId="6A78664C" w:rsidR="0084636B" w:rsidRDefault="0084636B" w:rsidP="008C164F">
      <w:pPr>
        <w:pStyle w:val="FootnoteText"/>
        <w:spacing w:before="60"/>
      </w:pPr>
      <w:r>
        <w:rPr>
          <w:rStyle w:val="FootnoteReference"/>
        </w:rPr>
        <w:footnoteRef/>
      </w:r>
      <w:r>
        <w:t xml:space="preserve"> </w:t>
      </w:r>
      <w:r w:rsidRPr="005C1B55">
        <w:rPr>
          <w:i/>
          <w:sz w:val="20"/>
          <w:szCs w:val="20"/>
        </w:rPr>
        <w:t>Id.</w:t>
      </w:r>
    </w:p>
  </w:footnote>
  <w:footnote w:id="135">
    <w:p w14:paraId="7EC930D2" w14:textId="664D3CE9" w:rsidR="0084636B" w:rsidRPr="00C2239D" w:rsidRDefault="0084636B" w:rsidP="00C2239D">
      <w:pPr>
        <w:pStyle w:val="FootnoteText"/>
        <w:spacing w:before="60"/>
        <w:jc w:val="both"/>
      </w:pPr>
      <w:r>
        <w:rPr>
          <w:rStyle w:val="FootnoteReference"/>
        </w:rPr>
        <w:footnoteRef/>
      </w:r>
      <w:r>
        <w:t xml:space="preserve"> </w:t>
      </w:r>
      <w:r w:rsidRPr="00C2239D">
        <w:rPr>
          <w:i/>
          <w:sz w:val="20"/>
          <w:szCs w:val="20"/>
        </w:rPr>
        <w:t xml:space="preserve">Id. </w:t>
      </w:r>
      <w:r w:rsidRPr="00C2239D">
        <w:rPr>
          <w:sz w:val="20"/>
          <w:szCs w:val="20"/>
        </w:rPr>
        <w:t xml:space="preserve">(citing </w:t>
      </w:r>
      <w:proofErr w:type="spellStart"/>
      <w:r w:rsidRPr="00C2239D">
        <w:rPr>
          <w:bCs/>
          <w:sz w:val="20"/>
          <w:szCs w:val="20"/>
        </w:rPr>
        <w:t>McMillon</w:t>
      </w:r>
      <w:proofErr w:type="spellEnd"/>
      <w:r w:rsidRPr="00C2239D">
        <w:rPr>
          <w:bCs/>
          <w:sz w:val="20"/>
          <w:szCs w:val="20"/>
        </w:rPr>
        <w:t xml:space="preserve"> et al v. Murphy-Brown, LLC, Docket No. 7:14-cv-00181 (E.D.N.C. Aug 21, 2014)</w:t>
      </w:r>
      <w:r>
        <w:rPr>
          <w:bCs/>
          <w:sz w:val="20"/>
          <w:szCs w:val="20"/>
        </w:rPr>
        <w:t xml:space="preserve">). </w:t>
      </w:r>
    </w:p>
  </w:footnote>
  <w:footnote w:id="136">
    <w:p w14:paraId="15FEC210" w14:textId="0C1AE228" w:rsidR="0084636B" w:rsidRDefault="0084636B" w:rsidP="00664142">
      <w:pPr>
        <w:pStyle w:val="FootnoteText"/>
        <w:spacing w:before="60"/>
        <w:jc w:val="both"/>
      </w:pPr>
      <w:r w:rsidRPr="002D408F">
        <w:rPr>
          <w:rStyle w:val="FootnoteReference"/>
        </w:rPr>
        <w:footnoteRef/>
      </w:r>
      <w:r w:rsidRPr="002D408F">
        <w:rPr>
          <w:sz w:val="20"/>
        </w:rPr>
        <w:t xml:space="preserve"> Jonathan Drew, </w:t>
      </w:r>
      <w:r w:rsidRPr="002D408F">
        <w:rPr>
          <w:i/>
          <w:sz w:val="20"/>
        </w:rPr>
        <w:t>Legislators Significantly Change Hog Farm Liability Bill</w:t>
      </w:r>
      <w:r w:rsidRPr="002D408F">
        <w:rPr>
          <w:sz w:val="20"/>
        </w:rPr>
        <w:t>, Idaho Statesman, Apr. 10, 2017, http://www.idahostatesman.com/news/business/article143837444.html (bill originally applied to the pending suits against Murphy-Brown, LLC, but updated version did not apply to pending suits).</w:t>
      </w:r>
    </w:p>
  </w:footnote>
  <w:footnote w:id="137">
    <w:p w14:paraId="745D308A" w14:textId="00934897" w:rsidR="0084636B" w:rsidRDefault="0084636B" w:rsidP="00664142">
      <w:pPr>
        <w:pStyle w:val="FootnoteText"/>
        <w:spacing w:before="60"/>
        <w:jc w:val="both"/>
      </w:pPr>
      <w:r>
        <w:rPr>
          <w:rStyle w:val="FootnoteReference"/>
        </w:rPr>
        <w:footnoteRef/>
      </w:r>
      <w:r>
        <w:t xml:space="preserve"> </w:t>
      </w:r>
      <w:r w:rsidRPr="00664142">
        <w:rPr>
          <w:i/>
          <w:sz w:val="20"/>
        </w:rPr>
        <w:t>Legislature Proposes Protecting Polluters over People</w:t>
      </w:r>
      <w:r w:rsidRPr="00664142">
        <w:rPr>
          <w:sz w:val="20"/>
        </w:rPr>
        <w:t xml:space="preserve">, </w:t>
      </w:r>
      <w:r w:rsidRPr="00664142">
        <w:rPr>
          <w:smallCaps/>
          <w:sz w:val="20"/>
          <w:szCs w:val="20"/>
        </w:rPr>
        <w:t>North Carolina Environmental Justice Network</w:t>
      </w:r>
      <w:r w:rsidRPr="00664142">
        <w:rPr>
          <w:sz w:val="20"/>
        </w:rPr>
        <w:t xml:space="preserve"> (Apr. 6, 2017), </w:t>
      </w:r>
      <w:r w:rsidRPr="009E78DD">
        <w:rPr>
          <w:sz w:val="20"/>
        </w:rPr>
        <w:t>http://www.ncejn.org</w:t>
      </w:r>
      <w:r w:rsidRPr="00664142">
        <w:rPr>
          <w:sz w:val="20"/>
        </w:rPr>
        <w:t>.</w:t>
      </w:r>
      <w:r>
        <w:rPr>
          <w:sz w:val="20"/>
        </w:rPr>
        <w:t xml:space="preserve"> (</w:t>
      </w:r>
      <w:proofErr w:type="gramStart"/>
      <w:r>
        <w:rPr>
          <w:sz w:val="20"/>
        </w:rPr>
        <w:t>citing</w:t>
      </w:r>
      <w:proofErr w:type="gramEnd"/>
      <w:r>
        <w:rPr>
          <w:sz w:val="20"/>
        </w:rPr>
        <w:t xml:space="preserve"> </w:t>
      </w:r>
      <w:r w:rsidRPr="00964EFA">
        <w:rPr>
          <w:smallCaps/>
          <w:sz w:val="20"/>
          <w:szCs w:val="20"/>
        </w:rPr>
        <w:t>N.C. Gen. Stat.</w:t>
      </w:r>
      <w:r>
        <w:rPr>
          <w:sz w:val="20"/>
          <w:szCs w:val="20"/>
        </w:rPr>
        <w:t xml:space="preserve"> §</w:t>
      </w:r>
      <w:r w:rsidRPr="00964EFA">
        <w:rPr>
          <w:sz w:val="20"/>
          <w:szCs w:val="20"/>
        </w:rPr>
        <w:t xml:space="preserve"> </w:t>
      </w:r>
      <w:r>
        <w:rPr>
          <w:sz w:val="20"/>
          <w:szCs w:val="20"/>
        </w:rPr>
        <w:t xml:space="preserve">1-539 </w:t>
      </w:r>
      <w:r w:rsidRPr="00964EFA">
        <w:rPr>
          <w:sz w:val="20"/>
          <w:szCs w:val="20"/>
        </w:rPr>
        <w:t>(2016)).</w:t>
      </w:r>
    </w:p>
  </w:footnote>
  <w:footnote w:id="138">
    <w:p w14:paraId="7AB5336C" w14:textId="3CCE0578" w:rsidR="0084636B" w:rsidRPr="00615083" w:rsidRDefault="0084636B" w:rsidP="00664142">
      <w:pPr>
        <w:pStyle w:val="FootnoteText"/>
        <w:spacing w:before="60"/>
        <w:jc w:val="both"/>
        <w:rPr>
          <w:i/>
        </w:rPr>
      </w:pPr>
      <w:r>
        <w:rPr>
          <w:rStyle w:val="FootnoteReference"/>
        </w:rPr>
        <w:footnoteRef/>
      </w:r>
      <w:r>
        <w:t xml:space="preserve"> </w:t>
      </w:r>
      <w:r>
        <w:rPr>
          <w:sz w:val="20"/>
        </w:rPr>
        <w:t xml:space="preserve">Drew, </w:t>
      </w:r>
      <w:r>
        <w:rPr>
          <w:i/>
          <w:sz w:val="20"/>
        </w:rPr>
        <w:t xml:space="preserve">supra </w:t>
      </w:r>
      <w:r>
        <w:rPr>
          <w:sz w:val="20"/>
        </w:rPr>
        <w:t xml:space="preserve">note 136. </w:t>
      </w:r>
      <w:r w:rsidRPr="00615083">
        <w:rPr>
          <w:i/>
          <w:sz w:val="20"/>
        </w:rPr>
        <w:t xml:space="preserve"> </w:t>
      </w:r>
    </w:p>
  </w:footnote>
  <w:footnote w:id="139">
    <w:p w14:paraId="0D5195DE" w14:textId="1D55E303" w:rsidR="0084636B" w:rsidRDefault="0084636B" w:rsidP="00CC2561">
      <w:pPr>
        <w:pStyle w:val="FootnoteText"/>
        <w:spacing w:before="60"/>
        <w:jc w:val="both"/>
      </w:pPr>
      <w:r>
        <w:rPr>
          <w:rStyle w:val="FootnoteReference"/>
        </w:rPr>
        <w:footnoteRef/>
      </w:r>
      <w:r>
        <w:t xml:space="preserve"> </w:t>
      </w:r>
      <w:proofErr w:type="gramStart"/>
      <w:r w:rsidRPr="00CC2561">
        <w:rPr>
          <w:smallCaps/>
          <w:sz w:val="20"/>
        </w:rPr>
        <w:t>Animal Legal Defense Fund, Factory Farms &amp; “Ag-Gag” Laws</w:t>
      </w:r>
      <w:r>
        <w:rPr>
          <w:smallCaps/>
          <w:sz w:val="20"/>
        </w:rPr>
        <w:t xml:space="preserve"> (2014), </w:t>
      </w:r>
      <w:r w:rsidRPr="003E378A">
        <w:rPr>
          <w:sz w:val="20"/>
          <w:szCs w:val="20"/>
        </w:rPr>
        <w:t>http://aldf.org/wp-content/uploads/2014/08/Ag-Gag-brochure-web.pdf</w:t>
      </w:r>
      <w:r>
        <w:rPr>
          <w:sz w:val="20"/>
          <w:szCs w:val="20"/>
        </w:rPr>
        <w:t>.</w:t>
      </w:r>
      <w:proofErr w:type="gramEnd"/>
    </w:p>
  </w:footnote>
  <w:footnote w:id="140">
    <w:p w14:paraId="4575BC2D" w14:textId="4B0622B5" w:rsidR="0084636B" w:rsidRDefault="0084636B" w:rsidP="003E378A">
      <w:pPr>
        <w:pStyle w:val="FootnoteText"/>
        <w:spacing w:before="60"/>
        <w:jc w:val="both"/>
      </w:pPr>
      <w:r>
        <w:rPr>
          <w:rStyle w:val="FootnoteReference"/>
        </w:rPr>
        <w:footnoteRef/>
      </w:r>
      <w:r>
        <w:t xml:space="preserve"> </w:t>
      </w:r>
      <w:r w:rsidRPr="003E378A">
        <w:rPr>
          <w:sz w:val="20"/>
          <w:szCs w:val="20"/>
        </w:rPr>
        <w:t xml:space="preserve">Jeffrey Vizcaino, </w:t>
      </w:r>
      <w:r w:rsidRPr="003E378A">
        <w:rPr>
          <w:i/>
          <w:sz w:val="20"/>
          <w:szCs w:val="20"/>
        </w:rPr>
        <w:t xml:space="preserve">Sinclair’s Nightmare: </w:t>
      </w:r>
      <w:proofErr w:type="spellStart"/>
      <w:r w:rsidRPr="003E378A">
        <w:rPr>
          <w:i/>
          <w:sz w:val="20"/>
          <w:szCs w:val="20"/>
        </w:rPr>
        <w:t>SLAPPing</w:t>
      </w:r>
      <w:proofErr w:type="spellEnd"/>
      <w:r w:rsidRPr="003E378A">
        <w:rPr>
          <w:i/>
          <w:sz w:val="20"/>
          <w:szCs w:val="20"/>
        </w:rPr>
        <w:t xml:space="preserve"> Down Ag-Gag Legislation As Content-Based Restrictions Chilling Protected Free Speech</w:t>
      </w:r>
      <w:r w:rsidRPr="003E378A">
        <w:rPr>
          <w:sz w:val="20"/>
          <w:szCs w:val="20"/>
        </w:rPr>
        <w:t xml:space="preserve">, </w:t>
      </w:r>
      <w:r w:rsidRPr="003E378A">
        <w:rPr>
          <w:smallCaps/>
          <w:sz w:val="20"/>
          <w:szCs w:val="20"/>
        </w:rPr>
        <w:t xml:space="preserve">7 J. Animal &amp; </w:t>
      </w:r>
      <w:proofErr w:type="spellStart"/>
      <w:r w:rsidRPr="003E378A">
        <w:rPr>
          <w:smallCaps/>
          <w:sz w:val="20"/>
          <w:szCs w:val="20"/>
        </w:rPr>
        <w:t>Envtl</w:t>
      </w:r>
      <w:proofErr w:type="spellEnd"/>
      <w:r w:rsidRPr="003E378A">
        <w:rPr>
          <w:smallCaps/>
          <w:sz w:val="20"/>
          <w:szCs w:val="20"/>
        </w:rPr>
        <w:t>. L</w:t>
      </w:r>
      <w:r w:rsidRPr="003E378A">
        <w:rPr>
          <w:sz w:val="20"/>
          <w:szCs w:val="20"/>
        </w:rPr>
        <w:t xml:space="preserve">. 49, </w:t>
      </w:r>
      <w:r>
        <w:rPr>
          <w:sz w:val="20"/>
          <w:szCs w:val="20"/>
        </w:rPr>
        <w:t>50</w:t>
      </w:r>
      <w:r w:rsidRPr="003E378A">
        <w:rPr>
          <w:sz w:val="20"/>
          <w:szCs w:val="20"/>
        </w:rPr>
        <w:t xml:space="preserve"> (2015-2016) (citing Jennifer </w:t>
      </w:r>
      <w:proofErr w:type="spellStart"/>
      <w:r w:rsidRPr="003E378A">
        <w:rPr>
          <w:sz w:val="20"/>
          <w:szCs w:val="20"/>
        </w:rPr>
        <w:t>Molido</w:t>
      </w:r>
      <w:proofErr w:type="spellEnd"/>
      <w:r w:rsidRPr="003E378A">
        <w:rPr>
          <w:sz w:val="20"/>
          <w:szCs w:val="20"/>
        </w:rPr>
        <w:t xml:space="preserve">, </w:t>
      </w:r>
      <w:r w:rsidRPr="003E378A">
        <w:rPr>
          <w:i/>
          <w:sz w:val="20"/>
          <w:szCs w:val="20"/>
        </w:rPr>
        <w:t>Undercover Investigations Help Protect Farmed Animals</w:t>
      </w:r>
      <w:r w:rsidRPr="003E378A">
        <w:rPr>
          <w:sz w:val="20"/>
          <w:szCs w:val="20"/>
        </w:rPr>
        <w:t xml:space="preserve">, </w:t>
      </w:r>
      <w:r w:rsidRPr="003E378A">
        <w:rPr>
          <w:smallCaps/>
          <w:sz w:val="20"/>
          <w:szCs w:val="20"/>
        </w:rPr>
        <w:t>Animal Legal Defense Fund</w:t>
      </w:r>
      <w:r w:rsidRPr="003E378A">
        <w:rPr>
          <w:sz w:val="20"/>
          <w:szCs w:val="20"/>
        </w:rPr>
        <w:t xml:space="preserve"> (Mar. 31, 2015), http://aldf.org/blog/undercover-investigations-help-protect-farmed-animals/.</w:t>
      </w:r>
      <w:r>
        <w:rPr>
          <w:sz w:val="20"/>
          <w:szCs w:val="20"/>
        </w:rPr>
        <w:t>)</w:t>
      </w:r>
    </w:p>
  </w:footnote>
  <w:footnote w:id="141">
    <w:p w14:paraId="1A785BDC" w14:textId="5703C9BC" w:rsidR="0084636B" w:rsidRDefault="0084636B" w:rsidP="00C265D6">
      <w:pPr>
        <w:pStyle w:val="FootnoteText"/>
        <w:spacing w:before="60"/>
        <w:jc w:val="both"/>
      </w:pPr>
      <w:r>
        <w:rPr>
          <w:rStyle w:val="FootnoteReference"/>
        </w:rPr>
        <w:footnoteRef/>
      </w:r>
      <w:r>
        <w:t xml:space="preserve"> </w:t>
      </w:r>
      <w:r w:rsidRPr="00C265D6">
        <w:rPr>
          <w:sz w:val="20"/>
          <w:szCs w:val="20"/>
        </w:rPr>
        <w:t xml:space="preserve">Kansas was the first to pass </w:t>
      </w:r>
      <w:proofErr w:type="spellStart"/>
      <w:r w:rsidRPr="00C265D6">
        <w:rPr>
          <w:sz w:val="20"/>
          <w:szCs w:val="20"/>
        </w:rPr>
        <w:t>ag</w:t>
      </w:r>
      <w:proofErr w:type="spellEnd"/>
      <w:r w:rsidRPr="00C265D6">
        <w:rPr>
          <w:sz w:val="20"/>
          <w:szCs w:val="20"/>
        </w:rPr>
        <w:t>-gag legislation in the early 1990s</w:t>
      </w:r>
      <w:r>
        <w:rPr>
          <w:sz w:val="20"/>
          <w:szCs w:val="20"/>
        </w:rPr>
        <w:t xml:space="preserve">. </w:t>
      </w:r>
      <w:r>
        <w:rPr>
          <w:i/>
          <w:sz w:val="20"/>
          <w:szCs w:val="20"/>
        </w:rPr>
        <w:t xml:space="preserve">Ag-Gag Legislation by </w:t>
      </w:r>
      <w:r w:rsidRPr="009B6495">
        <w:rPr>
          <w:sz w:val="20"/>
          <w:szCs w:val="20"/>
        </w:rPr>
        <w:t>State</w:t>
      </w:r>
      <w:r>
        <w:rPr>
          <w:sz w:val="20"/>
          <w:szCs w:val="20"/>
        </w:rPr>
        <w:t xml:space="preserve">, </w:t>
      </w:r>
      <w:r w:rsidRPr="009B6495">
        <w:rPr>
          <w:smallCaps/>
          <w:sz w:val="20"/>
          <w:szCs w:val="20"/>
        </w:rPr>
        <w:t>American Society for the Prevention of Cruelty to Animals</w:t>
      </w:r>
      <w:r>
        <w:rPr>
          <w:sz w:val="20"/>
          <w:szCs w:val="20"/>
        </w:rPr>
        <w:t xml:space="preserve">, </w:t>
      </w:r>
      <w:r w:rsidRPr="009B6495">
        <w:rPr>
          <w:sz w:val="20"/>
          <w:szCs w:val="20"/>
        </w:rPr>
        <w:t>https://www.aspca.org/animal-protection/public-policy/ag-gag-legislation-state</w:t>
      </w:r>
      <w:r>
        <w:rPr>
          <w:sz w:val="20"/>
          <w:szCs w:val="20"/>
        </w:rPr>
        <w:t xml:space="preserve"> (last visited Apr. 9, 2017). Today, </w:t>
      </w:r>
      <w:proofErr w:type="spellStart"/>
      <w:r>
        <w:rPr>
          <w:sz w:val="20"/>
          <w:szCs w:val="20"/>
        </w:rPr>
        <w:t>ag</w:t>
      </w:r>
      <w:proofErr w:type="spellEnd"/>
      <w:r>
        <w:rPr>
          <w:sz w:val="20"/>
          <w:szCs w:val="20"/>
        </w:rPr>
        <w:t xml:space="preserve">-gag legislation has either been introduced or already passed into law in more than half of states. </w:t>
      </w:r>
      <w:r>
        <w:rPr>
          <w:i/>
          <w:sz w:val="20"/>
          <w:szCs w:val="20"/>
        </w:rPr>
        <w:t xml:space="preserve">Id. </w:t>
      </w:r>
      <w:r>
        <w:rPr>
          <w:sz w:val="20"/>
          <w:szCs w:val="20"/>
        </w:rPr>
        <w:t xml:space="preserve">However, in a major victory for animal advocates, an Idaho federal district court struck down that state’s </w:t>
      </w:r>
      <w:proofErr w:type="spellStart"/>
      <w:r>
        <w:rPr>
          <w:sz w:val="20"/>
          <w:szCs w:val="20"/>
        </w:rPr>
        <w:t>ag</w:t>
      </w:r>
      <w:proofErr w:type="spellEnd"/>
      <w:r>
        <w:rPr>
          <w:sz w:val="20"/>
          <w:szCs w:val="20"/>
        </w:rPr>
        <w:t xml:space="preserve">-gag law as an unconstitutional restriction on the First and Fourteenth Amendments. Animal Legal Defense Fund et al v. Otter, No. 1:14-cv-00104-BLW (9th Cir. </w:t>
      </w:r>
      <w:proofErr w:type="gramStart"/>
      <w:r>
        <w:rPr>
          <w:sz w:val="20"/>
          <w:szCs w:val="20"/>
        </w:rPr>
        <w:t>Aug. 3, 2015).</w:t>
      </w:r>
      <w:proofErr w:type="gramEnd"/>
    </w:p>
  </w:footnote>
  <w:footnote w:id="142">
    <w:p w14:paraId="2058C022" w14:textId="64F0E721" w:rsidR="0084636B" w:rsidRDefault="0084636B" w:rsidP="00A92893">
      <w:pPr>
        <w:pStyle w:val="FootnoteText"/>
        <w:spacing w:before="60"/>
        <w:jc w:val="both"/>
      </w:pPr>
      <w:r>
        <w:rPr>
          <w:rStyle w:val="FootnoteReference"/>
        </w:rPr>
        <w:footnoteRef/>
      </w:r>
      <w:r>
        <w:t xml:space="preserve"> </w:t>
      </w:r>
      <w:r>
        <w:rPr>
          <w:sz w:val="20"/>
          <w:szCs w:val="20"/>
        </w:rPr>
        <w:t xml:space="preserve">2015 N.C. Sess. Laws 50 (codified at </w:t>
      </w:r>
      <w:r w:rsidRPr="00964EFA">
        <w:rPr>
          <w:smallCaps/>
          <w:sz w:val="20"/>
          <w:szCs w:val="20"/>
        </w:rPr>
        <w:t>N.C. Gen. Stat.</w:t>
      </w:r>
      <w:r w:rsidRPr="00964EFA">
        <w:rPr>
          <w:sz w:val="20"/>
          <w:szCs w:val="20"/>
        </w:rPr>
        <w:t xml:space="preserve"> §§ </w:t>
      </w:r>
      <w:r>
        <w:rPr>
          <w:sz w:val="20"/>
          <w:szCs w:val="20"/>
        </w:rPr>
        <w:t>99A-2</w:t>
      </w:r>
      <w:r w:rsidRPr="00964EFA">
        <w:rPr>
          <w:sz w:val="20"/>
          <w:szCs w:val="20"/>
        </w:rPr>
        <w:t xml:space="preserve"> (2016)).</w:t>
      </w:r>
    </w:p>
  </w:footnote>
  <w:footnote w:id="143">
    <w:p w14:paraId="35E0E437" w14:textId="565143AE" w:rsidR="0084636B" w:rsidRPr="00253AF0" w:rsidRDefault="0084636B" w:rsidP="00253AF0">
      <w:pPr>
        <w:pStyle w:val="FootnoteText"/>
        <w:spacing w:before="60"/>
        <w:jc w:val="both"/>
        <w:rPr>
          <w:i/>
        </w:rPr>
      </w:pPr>
      <w:r>
        <w:rPr>
          <w:rStyle w:val="FootnoteReference"/>
        </w:rPr>
        <w:footnoteRef/>
      </w:r>
      <w:r>
        <w:t xml:space="preserve"> </w:t>
      </w:r>
      <w:r w:rsidRPr="00CC2561">
        <w:rPr>
          <w:i/>
          <w:sz w:val="20"/>
          <w:szCs w:val="20"/>
        </w:rPr>
        <w:t xml:space="preserve">Taking Ag-Gag to </w:t>
      </w:r>
      <w:r w:rsidRPr="00C265D6">
        <w:rPr>
          <w:i/>
          <w:sz w:val="20"/>
          <w:szCs w:val="20"/>
        </w:rPr>
        <w:t>Court</w:t>
      </w:r>
      <w:r w:rsidRPr="00CC2561">
        <w:rPr>
          <w:sz w:val="20"/>
          <w:szCs w:val="20"/>
        </w:rPr>
        <w:t xml:space="preserve">, </w:t>
      </w:r>
      <w:r w:rsidRPr="00CC2561">
        <w:rPr>
          <w:smallCaps/>
          <w:sz w:val="20"/>
          <w:szCs w:val="20"/>
        </w:rPr>
        <w:t>Animal Legal Defense Fund</w:t>
      </w:r>
      <w:r w:rsidRPr="00CC2561">
        <w:rPr>
          <w:sz w:val="20"/>
          <w:szCs w:val="20"/>
        </w:rPr>
        <w:t xml:space="preserve"> (http://aldf.org/cases-campaigns/features/taking-ag-gag-to-court/</w:t>
      </w:r>
      <w:r>
        <w:rPr>
          <w:sz w:val="20"/>
          <w:szCs w:val="20"/>
        </w:rPr>
        <w:t xml:space="preserve">) (last visited Apr. 9, 2017). </w:t>
      </w:r>
      <w:r w:rsidRPr="00B24319">
        <w:rPr>
          <w:sz w:val="20"/>
          <w:szCs w:val="20"/>
        </w:rPr>
        <w:t xml:space="preserve">Governor Pat </w:t>
      </w:r>
      <w:proofErr w:type="spellStart"/>
      <w:r w:rsidRPr="00B24319">
        <w:rPr>
          <w:sz w:val="20"/>
          <w:szCs w:val="20"/>
        </w:rPr>
        <w:t>McCrory</w:t>
      </w:r>
      <w:proofErr w:type="spellEnd"/>
      <w:r w:rsidRPr="00B24319">
        <w:rPr>
          <w:sz w:val="20"/>
          <w:szCs w:val="20"/>
        </w:rPr>
        <w:t xml:space="preserve"> vetoed the law, but the North Carolina legislature overrode his veto.</w:t>
      </w:r>
      <w:r>
        <w:rPr>
          <w:sz w:val="20"/>
          <w:szCs w:val="20"/>
        </w:rPr>
        <w:t xml:space="preserve"> </w:t>
      </w:r>
      <w:r>
        <w:rPr>
          <w:i/>
          <w:sz w:val="20"/>
          <w:szCs w:val="20"/>
        </w:rPr>
        <w:t>Id.</w:t>
      </w:r>
    </w:p>
  </w:footnote>
  <w:footnote w:id="144">
    <w:p w14:paraId="04704EA0" w14:textId="2DB19FD1" w:rsidR="0084636B" w:rsidRPr="009A657C" w:rsidRDefault="0084636B" w:rsidP="00305FEA">
      <w:pPr>
        <w:pStyle w:val="FootnoteText"/>
        <w:spacing w:before="60"/>
        <w:jc w:val="both"/>
        <w:rPr>
          <w:sz w:val="20"/>
          <w:szCs w:val="20"/>
        </w:rPr>
      </w:pPr>
      <w:r>
        <w:rPr>
          <w:rStyle w:val="FootnoteReference"/>
        </w:rPr>
        <w:footnoteRef/>
      </w:r>
      <w:r>
        <w:t xml:space="preserve"> </w:t>
      </w:r>
      <w:r>
        <w:rPr>
          <w:i/>
          <w:sz w:val="20"/>
          <w:szCs w:val="20"/>
        </w:rPr>
        <w:t xml:space="preserve">Id. </w:t>
      </w:r>
      <w:r>
        <w:rPr>
          <w:sz w:val="20"/>
          <w:szCs w:val="20"/>
        </w:rPr>
        <w:t>(emphasis added).</w:t>
      </w:r>
    </w:p>
  </w:footnote>
  <w:footnote w:id="145">
    <w:p w14:paraId="5A31F68B" w14:textId="469B2B26" w:rsidR="0084636B" w:rsidRPr="00D459A7" w:rsidRDefault="0084636B" w:rsidP="00305FEA">
      <w:pPr>
        <w:pStyle w:val="FootnoteText"/>
        <w:spacing w:before="60"/>
        <w:jc w:val="both"/>
        <w:rPr>
          <w:sz w:val="20"/>
          <w:szCs w:val="20"/>
        </w:rPr>
      </w:pPr>
      <w:r>
        <w:rPr>
          <w:rStyle w:val="FootnoteReference"/>
        </w:rPr>
        <w:footnoteRef/>
      </w:r>
      <w:r>
        <w:t xml:space="preserve"> </w:t>
      </w:r>
      <w:r>
        <w:rPr>
          <w:i/>
          <w:sz w:val="20"/>
          <w:szCs w:val="20"/>
        </w:rPr>
        <w:t>Coalition Sues North Carolina over Constitutionality of ‘Anti-Sunshine’ Law</w:t>
      </w:r>
      <w:r>
        <w:rPr>
          <w:sz w:val="20"/>
          <w:szCs w:val="20"/>
        </w:rPr>
        <w:t xml:space="preserve">, </w:t>
      </w:r>
      <w:r w:rsidRPr="00991896">
        <w:rPr>
          <w:smallCaps/>
          <w:sz w:val="20"/>
          <w:szCs w:val="20"/>
        </w:rPr>
        <w:t>Animal Legal Defense Fund</w:t>
      </w:r>
      <w:r>
        <w:rPr>
          <w:sz w:val="20"/>
          <w:szCs w:val="20"/>
        </w:rPr>
        <w:t xml:space="preserve"> (Jan. 13, 2016), </w:t>
      </w:r>
      <w:r w:rsidRPr="00B24319">
        <w:rPr>
          <w:sz w:val="20"/>
          <w:szCs w:val="20"/>
        </w:rPr>
        <w:t>http://aldf.org/press-room/press-releases/coalition-sues-north-carolina-over-constitutionality-of-anti-sunshine-law/</w:t>
      </w:r>
      <w:r>
        <w:rPr>
          <w:sz w:val="20"/>
          <w:szCs w:val="20"/>
        </w:rPr>
        <w:t xml:space="preserve">. A coalition of advocacy organizations sued North Carolina, challenging the </w:t>
      </w:r>
      <w:proofErr w:type="spellStart"/>
      <w:r>
        <w:rPr>
          <w:sz w:val="20"/>
          <w:szCs w:val="20"/>
        </w:rPr>
        <w:t>ag</w:t>
      </w:r>
      <w:proofErr w:type="spellEnd"/>
      <w:r>
        <w:rPr>
          <w:sz w:val="20"/>
          <w:szCs w:val="20"/>
        </w:rPr>
        <w:t xml:space="preserve">-gag law on First and Fourteenth Amendment grounds. </w:t>
      </w:r>
      <w:r>
        <w:rPr>
          <w:i/>
          <w:sz w:val="20"/>
          <w:szCs w:val="20"/>
        </w:rPr>
        <w:t>Id.</w:t>
      </w:r>
      <w:r>
        <w:rPr>
          <w:sz w:val="20"/>
          <w:szCs w:val="20"/>
        </w:rPr>
        <w:t xml:space="preserve">; </w:t>
      </w:r>
      <w:r>
        <w:rPr>
          <w:i/>
          <w:sz w:val="20"/>
          <w:szCs w:val="20"/>
        </w:rPr>
        <w:t xml:space="preserve">see </w:t>
      </w:r>
      <w:r>
        <w:rPr>
          <w:sz w:val="20"/>
          <w:szCs w:val="20"/>
        </w:rPr>
        <w:t>People for the Ethical Treatment of Animals et al v. Cooper, No. 16-cv-25 (M.D.N.C. Jan. 13</w:t>
      </w:r>
      <w:r w:rsidRPr="00B25AD0">
        <w:rPr>
          <w:sz w:val="20"/>
          <w:szCs w:val="20"/>
        </w:rPr>
        <w:t>, 2016)</w:t>
      </w:r>
      <w:r>
        <w:rPr>
          <w:sz w:val="20"/>
          <w:szCs w:val="20"/>
        </w:rPr>
        <w:t>.</w:t>
      </w:r>
    </w:p>
  </w:footnote>
  <w:footnote w:id="146">
    <w:p w14:paraId="5E3C3ECE" w14:textId="670578D5" w:rsidR="0084636B" w:rsidRPr="000C79E3" w:rsidRDefault="0084636B" w:rsidP="00305FEA">
      <w:pPr>
        <w:pStyle w:val="FootnoteText"/>
        <w:spacing w:before="60"/>
        <w:jc w:val="both"/>
      </w:pPr>
      <w:r>
        <w:rPr>
          <w:rStyle w:val="FootnoteReference"/>
        </w:rPr>
        <w:footnoteRef/>
      </w:r>
      <w:r>
        <w:t xml:space="preserve"> </w:t>
      </w:r>
      <w:r>
        <w:rPr>
          <w:sz w:val="20"/>
        </w:rPr>
        <w:t xml:space="preserve">Skolnick, </w:t>
      </w:r>
      <w:r>
        <w:rPr>
          <w:i/>
          <w:sz w:val="20"/>
        </w:rPr>
        <w:t xml:space="preserve">supra </w:t>
      </w:r>
      <w:r>
        <w:rPr>
          <w:sz w:val="20"/>
        </w:rPr>
        <w:t>note 32.</w:t>
      </w:r>
    </w:p>
  </w:footnote>
  <w:footnote w:id="147">
    <w:p w14:paraId="388A898B" w14:textId="1C339B05" w:rsidR="0084636B" w:rsidRDefault="0084636B" w:rsidP="00305FEA">
      <w:pPr>
        <w:pStyle w:val="FootnoteText"/>
        <w:spacing w:before="60"/>
        <w:jc w:val="both"/>
      </w:pPr>
      <w:r>
        <w:rPr>
          <w:rStyle w:val="FootnoteReference"/>
        </w:rPr>
        <w:footnoteRef/>
      </w:r>
      <w:r>
        <w:t xml:space="preserve"> </w:t>
      </w:r>
      <w:r>
        <w:rPr>
          <w:i/>
          <w:sz w:val="20"/>
          <w:szCs w:val="20"/>
        </w:rPr>
        <w:t>Id.</w:t>
      </w:r>
    </w:p>
  </w:footnote>
  <w:footnote w:id="148">
    <w:p w14:paraId="195CAA26" w14:textId="090460F4" w:rsidR="0084636B" w:rsidRDefault="0084636B" w:rsidP="00305FEA">
      <w:pPr>
        <w:pStyle w:val="FootnoteText"/>
        <w:spacing w:before="60"/>
        <w:jc w:val="both"/>
      </w:pPr>
      <w:r>
        <w:rPr>
          <w:rStyle w:val="FootnoteReference"/>
        </w:rPr>
        <w:footnoteRef/>
      </w:r>
      <w:r>
        <w:t xml:space="preserve"> </w:t>
      </w:r>
      <w:r>
        <w:rPr>
          <w:i/>
          <w:sz w:val="20"/>
          <w:szCs w:val="20"/>
        </w:rPr>
        <w:t>Id.</w:t>
      </w:r>
    </w:p>
  </w:footnote>
  <w:footnote w:id="149">
    <w:p w14:paraId="0B22FC86" w14:textId="240267E4" w:rsidR="0084636B" w:rsidRDefault="0084636B" w:rsidP="00305FEA">
      <w:pPr>
        <w:pStyle w:val="FootnoteText"/>
        <w:spacing w:before="60"/>
      </w:pPr>
      <w:r>
        <w:rPr>
          <w:rStyle w:val="FootnoteReference"/>
        </w:rPr>
        <w:footnoteRef/>
      </w:r>
      <w:r>
        <w:t xml:space="preserve"> </w:t>
      </w:r>
      <w:r>
        <w:rPr>
          <w:i/>
          <w:sz w:val="20"/>
          <w:szCs w:val="20"/>
        </w:rPr>
        <w:t>Id.</w:t>
      </w:r>
    </w:p>
  </w:footnote>
  <w:footnote w:id="150">
    <w:p w14:paraId="59426787" w14:textId="051E7DCD" w:rsidR="0084636B" w:rsidRPr="006B6578" w:rsidRDefault="0084636B" w:rsidP="006B6578">
      <w:pPr>
        <w:pStyle w:val="FootnoteText"/>
        <w:spacing w:before="60"/>
        <w:jc w:val="both"/>
        <w:rPr>
          <w:i/>
        </w:rPr>
      </w:pPr>
      <w:r>
        <w:rPr>
          <w:rStyle w:val="FootnoteReference"/>
        </w:rPr>
        <w:footnoteRef/>
      </w:r>
      <w:r>
        <w:t xml:space="preserve"> </w:t>
      </w:r>
      <w:r w:rsidRPr="006B6578">
        <w:rPr>
          <w:i/>
          <w:sz w:val="20"/>
          <w:szCs w:val="20"/>
        </w:rPr>
        <w:t>Id.</w:t>
      </w:r>
      <w:r w:rsidRPr="006B6578">
        <w:t xml:space="preserve"> </w:t>
      </w:r>
      <w:r>
        <w:t>(</w:t>
      </w:r>
      <w:r w:rsidRPr="006B6578">
        <w:rPr>
          <w:sz w:val="20"/>
          <w:szCs w:val="20"/>
        </w:rPr>
        <w:t xml:space="preserve">Smithfield Foods </w:t>
      </w:r>
      <w:r>
        <w:rPr>
          <w:sz w:val="20"/>
          <w:szCs w:val="20"/>
        </w:rPr>
        <w:t>was the</w:t>
      </w:r>
      <w:r w:rsidRPr="006B6578">
        <w:rPr>
          <w:sz w:val="20"/>
          <w:szCs w:val="20"/>
        </w:rPr>
        <w:t xml:space="preserve"> world’s largest pig producer before the corporation sold out to WH Group</w:t>
      </w:r>
      <w:r>
        <w:rPr>
          <w:sz w:val="20"/>
          <w:szCs w:val="20"/>
        </w:rPr>
        <w:t>).</w:t>
      </w:r>
    </w:p>
  </w:footnote>
  <w:footnote w:id="151">
    <w:p w14:paraId="7BCF2494" w14:textId="7AC5A248" w:rsidR="0084636B" w:rsidRPr="00274B79" w:rsidRDefault="0084636B" w:rsidP="00372461">
      <w:pPr>
        <w:pStyle w:val="FootnoteText"/>
        <w:spacing w:before="60"/>
        <w:jc w:val="both"/>
        <w:rPr>
          <w:sz w:val="20"/>
          <w:szCs w:val="20"/>
        </w:rPr>
      </w:pPr>
      <w:r>
        <w:rPr>
          <w:rStyle w:val="FootnoteReference"/>
        </w:rPr>
        <w:footnoteRef/>
      </w:r>
      <w:r w:rsidRPr="00071B6A">
        <w:rPr>
          <w:i/>
          <w:sz w:val="20"/>
          <w:szCs w:val="20"/>
        </w:rPr>
        <w:t>AFO Program Summary</w:t>
      </w:r>
      <w:r w:rsidRPr="00071B6A">
        <w:rPr>
          <w:sz w:val="20"/>
          <w:szCs w:val="20"/>
        </w:rPr>
        <w:t>, North Carolina Department of Environmental Quality, https://deq.nc.gov/about/divisions/water-resources/water-resources-permits/wastewater-branch/animal-feeding-operation-permits/afo-program-summary (last accessed Apr. 10, 2017)</w:t>
      </w:r>
      <w:r>
        <w:rPr>
          <w:sz w:val="20"/>
          <w:szCs w:val="20"/>
        </w:rPr>
        <w:t xml:space="preserve"> (citing </w:t>
      </w:r>
      <w:r>
        <w:rPr>
          <w:smallCaps/>
          <w:sz w:val="20"/>
          <w:szCs w:val="20"/>
        </w:rPr>
        <w:t>N.C. Gen. Stat.</w:t>
      </w:r>
      <w:r w:rsidRPr="00071B6A">
        <w:rPr>
          <w:sz w:val="20"/>
          <w:szCs w:val="20"/>
        </w:rPr>
        <w:t xml:space="preserve"> § 143-215.10B</w:t>
      </w:r>
      <w:r>
        <w:rPr>
          <w:sz w:val="20"/>
          <w:szCs w:val="20"/>
        </w:rPr>
        <w:t xml:space="preserve">(a)). An operation is also regulated as an AFO if it “has a liquid animal waste management system that discharges to the surface waters of the State.” </w:t>
      </w:r>
      <w:r w:rsidRPr="00071B6A">
        <w:rPr>
          <w:sz w:val="20"/>
          <w:szCs w:val="20"/>
        </w:rPr>
        <w:t>§ 143-215.10B</w:t>
      </w:r>
      <w:r>
        <w:rPr>
          <w:sz w:val="20"/>
          <w:szCs w:val="20"/>
        </w:rPr>
        <w:t>(a).</w:t>
      </w:r>
    </w:p>
  </w:footnote>
  <w:footnote w:id="152">
    <w:p w14:paraId="57027FB8" w14:textId="333F6808" w:rsidR="0084636B" w:rsidRDefault="0084636B" w:rsidP="00372461">
      <w:pPr>
        <w:pStyle w:val="FootnoteText"/>
        <w:spacing w:before="60"/>
        <w:jc w:val="both"/>
      </w:pPr>
      <w:r>
        <w:rPr>
          <w:rStyle w:val="FootnoteReference"/>
        </w:rPr>
        <w:footnoteRef/>
      </w:r>
      <w:r>
        <w:t xml:space="preserve"> </w:t>
      </w:r>
      <w:r>
        <w:rPr>
          <w:i/>
          <w:sz w:val="20"/>
          <w:szCs w:val="20"/>
        </w:rPr>
        <w:t>Id.</w:t>
      </w:r>
    </w:p>
  </w:footnote>
  <w:footnote w:id="153">
    <w:p w14:paraId="047AFEA0" w14:textId="1CEB9048" w:rsidR="0084636B" w:rsidRPr="00393732" w:rsidRDefault="0084636B" w:rsidP="0043479E">
      <w:pPr>
        <w:pStyle w:val="FootnoteText"/>
        <w:spacing w:before="60"/>
        <w:jc w:val="both"/>
      </w:pPr>
      <w:r>
        <w:rPr>
          <w:rStyle w:val="FootnoteReference"/>
        </w:rPr>
        <w:footnoteRef/>
      </w:r>
      <w:r>
        <w:t xml:space="preserve"> </w:t>
      </w:r>
      <w:r w:rsidRPr="007D089F">
        <w:rPr>
          <w:sz w:val="20"/>
          <w:szCs w:val="20"/>
        </w:rPr>
        <w:t xml:space="preserve">North Carolina Department of Environmental Quality, </w:t>
      </w:r>
      <w:r w:rsidRPr="007D089F">
        <w:rPr>
          <w:i/>
          <w:sz w:val="20"/>
          <w:szCs w:val="20"/>
        </w:rPr>
        <w:t xml:space="preserve">supra </w:t>
      </w:r>
      <w:proofErr w:type="gramStart"/>
      <w:r>
        <w:rPr>
          <w:sz w:val="20"/>
          <w:szCs w:val="20"/>
        </w:rPr>
        <w:t>note</w:t>
      </w:r>
      <w:proofErr w:type="gramEnd"/>
      <w:r>
        <w:rPr>
          <w:sz w:val="20"/>
          <w:szCs w:val="20"/>
        </w:rPr>
        <w:t xml:space="preserve"> 151</w:t>
      </w:r>
      <w:r w:rsidRPr="007D089F">
        <w:rPr>
          <w:sz w:val="20"/>
          <w:szCs w:val="20"/>
        </w:rPr>
        <w:t>.</w:t>
      </w:r>
      <w:r>
        <w:rPr>
          <w:sz w:val="20"/>
          <w:szCs w:val="20"/>
        </w:rPr>
        <w:t xml:space="preserve"> Only existing CAFOs are eligible for permitting under the General Permit if they use the lagoon and </w:t>
      </w:r>
      <w:proofErr w:type="spellStart"/>
      <w:r>
        <w:rPr>
          <w:sz w:val="20"/>
          <w:szCs w:val="20"/>
        </w:rPr>
        <w:t>sprayfield</w:t>
      </w:r>
      <w:proofErr w:type="spellEnd"/>
      <w:r>
        <w:rPr>
          <w:sz w:val="20"/>
          <w:szCs w:val="20"/>
        </w:rPr>
        <w:t xml:space="preserve"> waste management system. </w:t>
      </w:r>
      <w:r>
        <w:rPr>
          <w:i/>
          <w:sz w:val="20"/>
          <w:szCs w:val="20"/>
        </w:rPr>
        <w:t xml:space="preserve">Id. </w:t>
      </w:r>
      <w:r>
        <w:rPr>
          <w:sz w:val="20"/>
          <w:szCs w:val="20"/>
        </w:rPr>
        <w:t xml:space="preserve">New or expanded CAFOs must be permitted through a separate process. </w:t>
      </w:r>
      <w:r>
        <w:rPr>
          <w:i/>
          <w:sz w:val="20"/>
          <w:szCs w:val="20"/>
        </w:rPr>
        <w:t xml:space="preserve">Id. </w:t>
      </w:r>
    </w:p>
  </w:footnote>
  <w:footnote w:id="154">
    <w:p w14:paraId="3331BCE4" w14:textId="4D3895E7" w:rsidR="0084636B" w:rsidRPr="006935C9" w:rsidRDefault="0084636B" w:rsidP="0043479E">
      <w:pPr>
        <w:pStyle w:val="FootnoteText"/>
        <w:spacing w:before="60"/>
        <w:rPr>
          <w:i/>
        </w:rPr>
      </w:pPr>
      <w:r w:rsidRPr="00E52FA1">
        <w:rPr>
          <w:rStyle w:val="FootnoteReference"/>
        </w:rPr>
        <w:footnoteRef/>
      </w:r>
      <w:r w:rsidRPr="00E52FA1">
        <w:t xml:space="preserve"> </w:t>
      </w:r>
      <w:r w:rsidRPr="00E52FA1">
        <w:rPr>
          <w:i/>
          <w:sz w:val="20"/>
          <w:szCs w:val="20"/>
        </w:rPr>
        <w:t xml:space="preserve">Id. </w:t>
      </w:r>
      <w:r w:rsidRPr="00E52FA1">
        <w:rPr>
          <w:sz w:val="20"/>
          <w:szCs w:val="20"/>
        </w:rPr>
        <w:t xml:space="preserve">Community members fought this renewal without success. </w:t>
      </w:r>
      <w:r w:rsidRPr="00E52FA1">
        <w:rPr>
          <w:i/>
          <w:sz w:val="20"/>
        </w:rPr>
        <w:t xml:space="preserve">See </w:t>
      </w:r>
      <w:r w:rsidRPr="00E52FA1">
        <w:rPr>
          <w:sz w:val="20"/>
        </w:rPr>
        <w:t>discussion</w:t>
      </w:r>
      <w:r w:rsidRPr="00E52FA1">
        <w:rPr>
          <w:i/>
          <w:sz w:val="20"/>
        </w:rPr>
        <w:t xml:space="preserve"> infra</w:t>
      </w:r>
      <w:r w:rsidRPr="00E52FA1">
        <w:rPr>
          <w:sz w:val="20"/>
        </w:rPr>
        <w:t xml:space="preserve"> section V.</w:t>
      </w:r>
    </w:p>
  </w:footnote>
  <w:footnote w:id="155">
    <w:p w14:paraId="69546A03" w14:textId="143BF7F2" w:rsidR="0084636B" w:rsidRPr="00164697" w:rsidRDefault="0084636B" w:rsidP="00393732">
      <w:pPr>
        <w:pStyle w:val="FootnoteText"/>
        <w:spacing w:before="60"/>
      </w:pPr>
      <w:r>
        <w:rPr>
          <w:rStyle w:val="FootnoteReference"/>
        </w:rPr>
        <w:footnoteRef/>
      </w:r>
      <w:r>
        <w:t xml:space="preserve"> </w:t>
      </w:r>
      <w:r>
        <w:rPr>
          <w:sz w:val="20"/>
        </w:rPr>
        <w:t xml:space="preserve">Skolnick, </w:t>
      </w:r>
      <w:r>
        <w:rPr>
          <w:i/>
          <w:sz w:val="20"/>
        </w:rPr>
        <w:t xml:space="preserve">supra </w:t>
      </w:r>
      <w:r>
        <w:rPr>
          <w:sz w:val="20"/>
        </w:rPr>
        <w:t xml:space="preserve">note 32. </w:t>
      </w:r>
      <w:r w:rsidRPr="002D408F">
        <w:rPr>
          <w:i/>
          <w:sz w:val="20"/>
        </w:rPr>
        <w:t>See supra</w:t>
      </w:r>
      <w:r w:rsidRPr="002D408F">
        <w:rPr>
          <w:sz w:val="20"/>
        </w:rPr>
        <w:t xml:space="preserve"> note 37 and accompanying text.</w:t>
      </w:r>
    </w:p>
  </w:footnote>
  <w:footnote w:id="156">
    <w:p w14:paraId="26E40CEE" w14:textId="7F0F1F8B" w:rsidR="0084636B" w:rsidRPr="00393732" w:rsidRDefault="0084636B" w:rsidP="0043479E">
      <w:pPr>
        <w:pStyle w:val="FootnoteText"/>
        <w:spacing w:before="60"/>
      </w:pPr>
      <w:r>
        <w:rPr>
          <w:rStyle w:val="FootnoteReference"/>
        </w:rPr>
        <w:footnoteRef/>
      </w:r>
      <w:r>
        <w:t xml:space="preserve"> </w:t>
      </w:r>
      <w:r>
        <w:rPr>
          <w:i/>
          <w:sz w:val="20"/>
          <w:szCs w:val="20"/>
        </w:rPr>
        <w:t>Id.</w:t>
      </w:r>
      <w:r>
        <w:rPr>
          <w:sz w:val="20"/>
          <w:szCs w:val="20"/>
        </w:rPr>
        <w:t xml:space="preserve">; North Carolina Department of Environmental Quality, </w:t>
      </w:r>
      <w:r>
        <w:rPr>
          <w:i/>
          <w:sz w:val="20"/>
          <w:szCs w:val="20"/>
        </w:rPr>
        <w:t xml:space="preserve">supra </w:t>
      </w:r>
      <w:r>
        <w:rPr>
          <w:sz w:val="20"/>
          <w:szCs w:val="20"/>
        </w:rPr>
        <w:t>note 151.</w:t>
      </w:r>
    </w:p>
  </w:footnote>
  <w:footnote w:id="157">
    <w:p w14:paraId="47A5B32C" w14:textId="70D686BF" w:rsidR="0084636B" w:rsidRPr="005C4420" w:rsidRDefault="0084636B" w:rsidP="005C4420">
      <w:pPr>
        <w:pStyle w:val="FootnoteText"/>
        <w:spacing w:before="60"/>
        <w:jc w:val="both"/>
      </w:pPr>
      <w:r>
        <w:rPr>
          <w:rStyle w:val="FootnoteReference"/>
        </w:rPr>
        <w:footnoteRef/>
      </w:r>
      <w:r>
        <w:t xml:space="preserve"> </w:t>
      </w:r>
      <w:r>
        <w:rPr>
          <w:i/>
          <w:sz w:val="20"/>
          <w:szCs w:val="20"/>
        </w:rPr>
        <w:t xml:space="preserve">Id. </w:t>
      </w:r>
      <w:r>
        <w:rPr>
          <w:sz w:val="20"/>
          <w:szCs w:val="20"/>
        </w:rPr>
        <w:t xml:space="preserve">The only way to start a new CAFO in North Carolina today is to use proper sewage treatment, which the industry states is cost-prohibitive. Skolnick, </w:t>
      </w:r>
      <w:r>
        <w:rPr>
          <w:i/>
          <w:sz w:val="20"/>
          <w:szCs w:val="20"/>
        </w:rPr>
        <w:t xml:space="preserve">supra </w:t>
      </w:r>
      <w:r>
        <w:rPr>
          <w:sz w:val="20"/>
          <w:szCs w:val="20"/>
        </w:rPr>
        <w:t xml:space="preserve">note 32. This victory followed relentless hard work on the part of the community. </w:t>
      </w:r>
      <w:r>
        <w:rPr>
          <w:i/>
          <w:sz w:val="20"/>
          <w:szCs w:val="20"/>
        </w:rPr>
        <w:t>Id.</w:t>
      </w:r>
      <w:proofErr w:type="gramStart"/>
      <w:r>
        <w:rPr>
          <w:sz w:val="20"/>
          <w:szCs w:val="20"/>
        </w:rPr>
        <w:t>;</w:t>
      </w:r>
      <w:proofErr w:type="gramEnd"/>
      <w:r>
        <w:rPr>
          <w:sz w:val="20"/>
          <w:szCs w:val="20"/>
        </w:rPr>
        <w:t xml:space="preserve"> </w:t>
      </w:r>
      <w:r>
        <w:rPr>
          <w:i/>
          <w:sz w:val="20"/>
          <w:szCs w:val="20"/>
        </w:rPr>
        <w:t xml:space="preserve">see </w:t>
      </w:r>
      <w:r>
        <w:rPr>
          <w:sz w:val="20"/>
          <w:szCs w:val="20"/>
        </w:rPr>
        <w:t>discussion</w:t>
      </w:r>
      <w:r>
        <w:rPr>
          <w:i/>
          <w:sz w:val="20"/>
          <w:szCs w:val="20"/>
        </w:rPr>
        <w:t xml:space="preserve"> infra </w:t>
      </w:r>
      <w:r>
        <w:rPr>
          <w:sz w:val="20"/>
          <w:szCs w:val="20"/>
        </w:rPr>
        <w:t xml:space="preserve">section V. </w:t>
      </w:r>
    </w:p>
  </w:footnote>
  <w:footnote w:id="158">
    <w:p w14:paraId="3A529EDD" w14:textId="1001B6F9" w:rsidR="0084636B" w:rsidRPr="00FD2807" w:rsidRDefault="0084636B" w:rsidP="00FD2807">
      <w:pPr>
        <w:pStyle w:val="FootnoteText"/>
        <w:spacing w:before="60"/>
        <w:jc w:val="both"/>
        <w:rPr>
          <w:sz w:val="20"/>
        </w:rPr>
      </w:pPr>
      <w:r>
        <w:rPr>
          <w:rStyle w:val="FootnoteReference"/>
        </w:rPr>
        <w:footnoteRef/>
      </w:r>
      <w:r>
        <w:t xml:space="preserve"> </w:t>
      </w:r>
      <w:r>
        <w:rPr>
          <w:sz w:val="20"/>
        </w:rPr>
        <w:t xml:space="preserve">Jernigan, </w:t>
      </w:r>
      <w:r>
        <w:rPr>
          <w:i/>
          <w:sz w:val="20"/>
        </w:rPr>
        <w:t xml:space="preserve">supra </w:t>
      </w:r>
      <w:r>
        <w:rPr>
          <w:sz w:val="20"/>
        </w:rPr>
        <w:t>note 84, at 34. (“</w:t>
      </w:r>
      <w:r w:rsidRPr="00FD2807">
        <w:rPr>
          <w:sz w:val="20"/>
        </w:rPr>
        <w:t>Most hog operations in North Carolina operate under a State General Permit, which</w:t>
      </w:r>
      <w:r>
        <w:rPr>
          <w:sz w:val="20"/>
        </w:rPr>
        <w:t xml:space="preserve"> </w:t>
      </w:r>
      <w:r w:rsidRPr="00FD2807">
        <w:rPr>
          <w:sz w:val="20"/>
        </w:rPr>
        <w:t>supports the assumption that pollutants, including fecal bacteria and nutrients, stay on site. The</w:t>
      </w:r>
      <w:r>
        <w:rPr>
          <w:sz w:val="20"/>
        </w:rPr>
        <w:t xml:space="preserve"> </w:t>
      </w:r>
      <w:r w:rsidRPr="00FD2807">
        <w:rPr>
          <w:sz w:val="20"/>
        </w:rPr>
        <w:t>permit allows the industry to</w:t>
      </w:r>
      <w:r>
        <w:rPr>
          <w:sz w:val="20"/>
        </w:rPr>
        <w:t xml:space="preserve"> </w:t>
      </w:r>
      <w:r w:rsidRPr="00FD2807">
        <w:rPr>
          <w:sz w:val="20"/>
        </w:rPr>
        <w:t>flush hog feces and urine into</w:t>
      </w:r>
      <w:r>
        <w:rPr>
          <w:sz w:val="20"/>
        </w:rPr>
        <w:t xml:space="preserve"> </w:t>
      </w:r>
      <w:r w:rsidRPr="00FD2807">
        <w:rPr>
          <w:sz w:val="20"/>
        </w:rPr>
        <w:t>open, unlined pits and then</w:t>
      </w:r>
      <w:r>
        <w:rPr>
          <w:sz w:val="20"/>
        </w:rPr>
        <w:t xml:space="preserve"> </w:t>
      </w:r>
      <w:r w:rsidRPr="00FD2807">
        <w:rPr>
          <w:sz w:val="20"/>
        </w:rPr>
        <w:t>to spray this “liquid manure”</w:t>
      </w:r>
      <w:r>
        <w:rPr>
          <w:sz w:val="20"/>
        </w:rPr>
        <w:t xml:space="preserve"> </w:t>
      </w:r>
      <w:r w:rsidRPr="00FD2807">
        <w:rPr>
          <w:sz w:val="20"/>
        </w:rPr>
        <w:t>onto nearby fields under</w:t>
      </w:r>
      <w:r>
        <w:rPr>
          <w:sz w:val="20"/>
        </w:rPr>
        <w:t xml:space="preserve"> </w:t>
      </w:r>
      <w:r w:rsidRPr="00FD2807">
        <w:rPr>
          <w:sz w:val="20"/>
        </w:rPr>
        <w:t>the pretext of it being used</w:t>
      </w:r>
      <w:r>
        <w:rPr>
          <w:sz w:val="20"/>
        </w:rPr>
        <w:t xml:space="preserve"> </w:t>
      </w:r>
      <w:r w:rsidRPr="00FD2807">
        <w:rPr>
          <w:sz w:val="20"/>
        </w:rPr>
        <w:t>as fertilizer. The problem is</w:t>
      </w:r>
      <w:r>
        <w:rPr>
          <w:sz w:val="20"/>
        </w:rPr>
        <w:t xml:space="preserve"> </w:t>
      </w:r>
      <w:r w:rsidRPr="00FD2807">
        <w:rPr>
          <w:sz w:val="20"/>
        </w:rPr>
        <w:t>that there is too much of the</w:t>
      </w:r>
      <w:r>
        <w:rPr>
          <w:sz w:val="20"/>
        </w:rPr>
        <w:t xml:space="preserve"> </w:t>
      </w:r>
      <w:r w:rsidRPr="00FD2807">
        <w:rPr>
          <w:sz w:val="20"/>
        </w:rPr>
        <w:t>waste being produced for</w:t>
      </w:r>
      <w:r>
        <w:rPr>
          <w:sz w:val="20"/>
        </w:rPr>
        <w:t xml:space="preserve"> </w:t>
      </w:r>
      <w:r w:rsidRPr="00FD2807">
        <w:rPr>
          <w:sz w:val="20"/>
        </w:rPr>
        <w:t>the soil or crops to absorb</w:t>
      </w:r>
      <w:r>
        <w:rPr>
          <w:sz w:val="20"/>
        </w:rPr>
        <w:t xml:space="preserve"> </w:t>
      </w:r>
      <w:r w:rsidRPr="00FD2807">
        <w:rPr>
          <w:sz w:val="20"/>
        </w:rPr>
        <w:t>it all. Much of the waste</w:t>
      </w:r>
      <w:r>
        <w:rPr>
          <w:sz w:val="20"/>
        </w:rPr>
        <w:t xml:space="preserve"> </w:t>
      </w:r>
      <w:r w:rsidRPr="00FD2807">
        <w:rPr>
          <w:sz w:val="20"/>
        </w:rPr>
        <w:t>runs off the fields, which</w:t>
      </w:r>
      <w:r>
        <w:rPr>
          <w:sz w:val="20"/>
        </w:rPr>
        <w:t xml:space="preserve"> </w:t>
      </w:r>
      <w:r w:rsidRPr="00FD2807">
        <w:rPr>
          <w:sz w:val="20"/>
        </w:rPr>
        <w:t>are extensively ditched to</w:t>
      </w:r>
      <w:r>
        <w:rPr>
          <w:sz w:val="20"/>
        </w:rPr>
        <w:t xml:space="preserve"> </w:t>
      </w:r>
      <w:r w:rsidRPr="00FD2807">
        <w:rPr>
          <w:sz w:val="20"/>
        </w:rPr>
        <w:t>facilitate drainage in the</w:t>
      </w:r>
      <w:r>
        <w:rPr>
          <w:sz w:val="20"/>
        </w:rPr>
        <w:t xml:space="preserve"> </w:t>
      </w:r>
      <w:r w:rsidRPr="00FD2807">
        <w:rPr>
          <w:sz w:val="20"/>
        </w:rPr>
        <w:t>low-lying coastal plain, and</w:t>
      </w:r>
      <w:r>
        <w:rPr>
          <w:sz w:val="20"/>
        </w:rPr>
        <w:t xml:space="preserve"> </w:t>
      </w:r>
      <w:r w:rsidRPr="00FD2807">
        <w:rPr>
          <w:sz w:val="20"/>
        </w:rPr>
        <w:t>the waste contaminates</w:t>
      </w:r>
      <w:r>
        <w:rPr>
          <w:sz w:val="20"/>
        </w:rPr>
        <w:t xml:space="preserve"> </w:t>
      </w:r>
      <w:r w:rsidRPr="00FD2807">
        <w:rPr>
          <w:sz w:val="20"/>
        </w:rPr>
        <w:t>nearby waters. It also drifts</w:t>
      </w:r>
      <w:r>
        <w:rPr>
          <w:sz w:val="20"/>
        </w:rPr>
        <w:t xml:space="preserve"> </w:t>
      </w:r>
      <w:r w:rsidRPr="00FD2807">
        <w:rPr>
          <w:sz w:val="20"/>
        </w:rPr>
        <w:t>as a noxious mist onto neighboring properties.</w:t>
      </w:r>
      <w:r>
        <w:rPr>
          <w:sz w:val="20"/>
        </w:rPr>
        <w:t>”).</w:t>
      </w:r>
    </w:p>
  </w:footnote>
  <w:footnote w:id="159">
    <w:p w14:paraId="7E082828" w14:textId="09737931" w:rsidR="0084636B" w:rsidRDefault="0084636B" w:rsidP="0043479E">
      <w:pPr>
        <w:pStyle w:val="FootnoteText"/>
        <w:spacing w:before="60"/>
      </w:pPr>
      <w:r>
        <w:rPr>
          <w:rStyle w:val="FootnoteReference"/>
        </w:rPr>
        <w:footnoteRef/>
      </w:r>
      <w:r>
        <w:t xml:space="preserve"> </w:t>
      </w:r>
      <w:r w:rsidRPr="007D089F">
        <w:rPr>
          <w:sz w:val="20"/>
          <w:szCs w:val="20"/>
        </w:rPr>
        <w:t xml:space="preserve">North Carolina Department of Environmental Quality, </w:t>
      </w:r>
      <w:r w:rsidRPr="007D089F">
        <w:rPr>
          <w:i/>
          <w:sz w:val="20"/>
          <w:szCs w:val="20"/>
        </w:rPr>
        <w:t xml:space="preserve">supra </w:t>
      </w:r>
      <w:proofErr w:type="gramStart"/>
      <w:r>
        <w:rPr>
          <w:sz w:val="20"/>
          <w:szCs w:val="20"/>
        </w:rPr>
        <w:t>note</w:t>
      </w:r>
      <w:proofErr w:type="gramEnd"/>
      <w:r>
        <w:rPr>
          <w:sz w:val="20"/>
          <w:szCs w:val="20"/>
        </w:rPr>
        <w:t xml:space="preserve"> 151</w:t>
      </w:r>
      <w:r w:rsidRPr="007D089F">
        <w:rPr>
          <w:sz w:val="20"/>
          <w:szCs w:val="20"/>
        </w:rPr>
        <w:t>.</w:t>
      </w:r>
    </w:p>
  </w:footnote>
  <w:footnote w:id="160">
    <w:p w14:paraId="464666D7" w14:textId="5DC2A83E" w:rsidR="0084636B" w:rsidRPr="0043479E" w:rsidRDefault="0084636B" w:rsidP="0043479E">
      <w:pPr>
        <w:pStyle w:val="FootnoteText"/>
        <w:spacing w:before="60"/>
        <w:rPr>
          <w:i/>
        </w:rPr>
      </w:pPr>
      <w:r>
        <w:rPr>
          <w:rStyle w:val="FootnoteReference"/>
        </w:rPr>
        <w:footnoteRef/>
      </w:r>
      <w:r>
        <w:t xml:space="preserve"> </w:t>
      </w:r>
      <w:r>
        <w:rPr>
          <w:sz w:val="20"/>
        </w:rPr>
        <w:t xml:space="preserve">Jernigan, </w:t>
      </w:r>
      <w:r>
        <w:rPr>
          <w:i/>
          <w:sz w:val="20"/>
        </w:rPr>
        <w:t xml:space="preserve">supra </w:t>
      </w:r>
      <w:r>
        <w:rPr>
          <w:sz w:val="20"/>
        </w:rPr>
        <w:t xml:space="preserve">note 84, at 35. </w:t>
      </w:r>
      <w:r w:rsidRPr="00E52FA1">
        <w:rPr>
          <w:i/>
          <w:sz w:val="20"/>
        </w:rPr>
        <w:t xml:space="preserve">See </w:t>
      </w:r>
      <w:r w:rsidRPr="00E52FA1">
        <w:rPr>
          <w:sz w:val="20"/>
        </w:rPr>
        <w:t>discussion</w:t>
      </w:r>
      <w:r w:rsidRPr="00E52FA1">
        <w:rPr>
          <w:i/>
          <w:sz w:val="20"/>
        </w:rPr>
        <w:t xml:space="preserve"> infra</w:t>
      </w:r>
      <w:r w:rsidRPr="00E52FA1">
        <w:rPr>
          <w:sz w:val="20"/>
        </w:rPr>
        <w:t xml:space="preserve"> section V.</w:t>
      </w:r>
    </w:p>
  </w:footnote>
  <w:footnote w:id="161">
    <w:p w14:paraId="7DFD84AC" w14:textId="3F2079F5" w:rsidR="0084636B" w:rsidRDefault="0084636B" w:rsidP="00C21BA4">
      <w:pPr>
        <w:pStyle w:val="FootnoteText"/>
        <w:spacing w:before="60"/>
        <w:jc w:val="both"/>
      </w:pPr>
      <w:r>
        <w:rPr>
          <w:rStyle w:val="FootnoteReference"/>
        </w:rPr>
        <w:footnoteRef/>
      </w:r>
      <w:r>
        <w:t xml:space="preserve"> </w:t>
      </w:r>
      <w:r w:rsidRPr="00F01B63">
        <w:rPr>
          <w:sz w:val="20"/>
          <w:szCs w:val="20"/>
        </w:rPr>
        <w:t xml:space="preserve">Michele M. Merkel, </w:t>
      </w:r>
      <w:r w:rsidRPr="00F01B63">
        <w:rPr>
          <w:i/>
          <w:iCs/>
          <w:sz w:val="20"/>
          <w:szCs w:val="20"/>
        </w:rPr>
        <w:t>EPA and State Failures to Regulate CAFOs Under Federal Environmental Laws: Outline of Remarks Prepared for the National Commission on Industrial Farm Animal Production Meeting on September 11, 2006</w:t>
      </w:r>
      <w:r w:rsidRPr="00F01B63">
        <w:rPr>
          <w:sz w:val="20"/>
          <w:szCs w:val="20"/>
        </w:rPr>
        <w:t>, http://environmentalintegrity.org/pdf/publications/EPA_State_Failures_Regulate_CAFO.pdf.</w:t>
      </w:r>
    </w:p>
  </w:footnote>
  <w:footnote w:id="162">
    <w:p w14:paraId="16939FB6" w14:textId="28518761" w:rsidR="0084636B" w:rsidRPr="00CB7576" w:rsidRDefault="0084636B" w:rsidP="00CB7576">
      <w:pPr>
        <w:pStyle w:val="FootnoteText"/>
        <w:spacing w:before="60"/>
        <w:jc w:val="both"/>
        <w:rPr>
          <w:b/>
          <w:bCs/>
          <w:sz w:val="20"/>
        </w:rPr>
      </w:pPr>
      <w:r>
        <w:rPr>
          <w:rStyle w:val="FootnoteReference"/>
        </w:rPr>
        <w:footnoteRef/>
      </w:r>
      <w:r>
        <w:t xml:space="preserve"> </w:t>
      </w:r>
      <w:r>
        <w:rPr>
          <w:sz w:val="20"/>
        </w:rPr>
        <w:t xml:space="preserve">The American Farm Bureau Federation, for example, plasters photos of rolling green hills, white faces, and the American flag on their homepage. </w:t>
      </w:r>
      <w:r w:rsidRPr="00935719">
        <w:rPr>
          <w:smallCaps/>
          <w:sz w:val="20"/>
          <w:szCs w:val="20"/>
        </w:rPr>
        <w:t>American Farm Bureau Federation</w:t>
      </w:r>
      <w:r>
        <w:rPr>
          <w:sz w:val="20"/>
        </w:rPr>
        <w:t xml:space="preserve">, </w:t>
      </w:r>
      <w:r w:rsidRPr="00935719">
        <w:rPr>
          <w:sz w:val="20"/>
        </w:rPr>
        <w:t>http://www.fb.org/</w:t>
      </w:r>
      <w:r>
        <w:rPr>
          <w:sz w:val="20"/>
        </w:rPr>
        <w:t xml:space="preserve"> (last visited Apr. 10, 2017). The website declares: </w:t>
      </w:r>
      <w:r w:rsidRPr="00935719">
        <w:rPr>
          <w:sz w:val="20"/>
        </w:rPr>
        <w:t>“</w:t>
      </w:r>
      <w:r w:rsidRPr="00935719">
        <w:rPr>
          <w:bCs/>
          <w:sz w:val="20"/>
        </w:rPr>
        <w:t>Farm Bureau is committed to working through our grassroots organizations to enhance and strengthen the lives of rural Americans and to build strong, prosperous agricultural communities</w:t>
      </w:r>
      <w:r>
        <w:rPr>
          <w:bCs/>
          <w:sz w:val="20"/>
        </w:rPr>
        <w:t xml:space="preserve">.” </w:t>
      </w:r>
      <w:r>
        <w:rPr>
          <w:bCs/>
          <w:i/>
          <w:sz w:val="20"/>
        </w:rPr>
        <w:t xml:space="preserve">Id. See </w:t>
      </w:r>
      <w:r>
        <w:rPr>
          <w:bCs/>
          <w:sz w:val="20"/>
        </w:rPr>
        <w:t xml:space="preserve">Hoover, </w:t>
      </w:r>
      <w:r>
        <w:rPr>
          <w:bCs/>
          <w:i/>
          <w:sz w:val="20"/>
        </w:rPr>
        <w:t xml:space="preserve">supra </w:t>
      </w:r>
      <w:r>
        <w:rPr>
          <w:bCs/>
          <w:sz w:val="20"/>
        </w:rPr>
        <w:t xml:space="preserve">note 67, at 9 (“The industry . . . </w:t>
      </w:r>
      <w:r w:rsidRPr="003240D3">
        <w:rPr>
          <w:bCs/>
          <w:sz w:val="20"/>
        </w:rPr>
        <w:t>carries out marketing campaigns that perpetuate the image of the small American farmer and avoid environmental issues, adding to the regulatory challenge</w:t>
      </w:r>
      <w:r>
        <w:rPr>
          <w:bCs/>
          <w:sz w:val="20"/>
        </w:rPr>
        <w:t>.”)</w:t>
      </w:r>
      <w:r w:rsidRPr="003240D3">
        <w:rPr>
          <w:bCs/>
          <w:sz w:val="20"/>
        </w:rPr>
        <w:t xml:space="preserve"> </w:t>
      </w:r>
      <w:r>
        <w:rPr>
          <w:bCs/>
          <w:sz w:val="20"/>
        </w:rPr>
        <w:t>(</w:t>
      </w:r>
      <w:proofErr w:type="gramStart"/>
      <w:r>
        <w:rPr>
          <w:bCs/>
          <w:sz w:val="20"/>
        </w:rPr>
        <w:t>citing</w:t>
      </w:r>
      <w:proofErr w:type="gramEnd"/>
      <w:r>
        <w:rPr>
          <w:bCs/>
          <w:sz w:val="20"/>
        </w:rPr>
        <w:t xml:space="preserve"> </w:t>
      </w:r>
      <w:r w:rsidRPr="007F63A5">
        <w:rPr>
          <w:sz w:val="20"/>
        </w:rPr>
        <w:t xml:space="preserve">Wilson, </w:t>
      </w:r>
      <w:r w:rsidRPr="007F63A5">
        <w:rPr>
          <w:i/>
          <w:sz w:val="20"/>
        </w:rPr>
        <w:t xml:space="preserve">supra </w:t>
      </w:r>
      <w:r>
        <w:rPr>
          <w:sz w:val="20"/>
        </w:rPr>
        <w:t>note 63</w:t>
      </w:r>
      <w:r w:rsidRPr="007F63A5">
        <w:rPr>
          <w:sz w:val="20"/>
        </w:rPr>
        <w:t>, at 541</w:t>
      </w:r>
      <w:r>
        <w:rPr>
          <w:sz w:val="20"/>
        </w:rPr>
        <w:t>)</w:t>
      </w:r>
      <w:r w:rsidRPr="007F63A5">
        <w:rPr>
          <w:sz w:val="16"/>
          <w:szCs w:val="20"/>
        </w:rPr>
        <w:t>.</w:t>
      </w:r>
    </w:p>
  </w:footnote>
  <w:footnote w:id="163">
    <w:p w14:paraId="5092D524" w14:textId="68A45AE3" w:rsidR="0084636B" w:rsidRDefault="0084636B" w:rsidP="00BE2436">
      <w:pPr>
        <w:pStyle w:val="FootnoteText"/>
        <w:spacing w:before="60"/>
        <w:jc w:val="both"/>
      </w:pPr>
      <w:r>
        <w:rPr>
          <w:rStyle w:val="FootnoteReference"/>
        </w:rPr>
        <w:footnoteRef/>
      </w:r>
      <w:r>
        <w:t xml:space="preserve"> </w:t>
      </w:r>
      <w:r w:rsidRPr="00BE2436">
        <w:rPr>
          <w:sz w:val="20"/>
          <w:szCs w:val="22"/>
        </w:rPr>
        <w:t xml:space="preserve">Travis Madsen et al, </w:t>
      </w:r>
      <w:r w:rsidRPr="00BE2436">
        <w:rPr>
          <w:i/>
          <w:sz w:val="20"/>
          <w:szCs w:val="22"/>
        </w:rPr>
        <w:t>Growing Influence: The Political Power of Agribusiness and the Fouling of America’s Waterways</w:t>
      </w:r>
      <w:r w:rsidRPr="00BE2436">
        <w:rPr>
          <w:sz w:val="20"/>
          <w:szCs w:val="22"/>
        </w:rPr>
        <w:t xml:space="preserve">, </w:t>
      </w:r>
      <w:r w:rsidRPr="00BE2436">
        <w:rPr>
          <w:smallCaps/>
          <w:sz w:val="20"/>
          <w:szCs w:val="22"/>
        </w:rPr>
        <w:t>Environment America Research and Policy Center</w:t>
      </w:r>
      <w:r w:rsidRPr="00BE2436">
        <w:rPr>
          <w:sz w:val="20"/>
          <w:szCs w:val="22"/>
        </w:rPr>
        <w:t xml:space="preserve"> </w:t>
      </w:r>
      <w:r>
        <w:rPr>
          <w:sz w:val="20"/>
          <w:szCs w:val="22"/>
        </w:rPr>
        <w:t xml:space="preserve">16 </w:t>
      </w:r>
      <w:r w:rsidRPr="00BE2436">
        <w:rPr>
          <w:sz w:val="20"/>
          <w:szCs w:val="22"/>
        </w:rPr>
        <w:t>(Feb. 4, 2011), http://www.environmentamerica.org/sites/environment/files/reports/Growing-Influence---low-res.pdf.</w:t>
      </w:r>
    </w:p>
  </w:footnote>
  <w:footnote w:id="164">
    <w:p w14:paraId="5C3D028D" w14:textId="4ECADA9A" w:rsidR="0084636B" w:rsidRPr="00253AF0" w:rsidRDefault="0084636B" w:rsidP="00253AF0">
      <w:pPr>
        <w:pStyle w:val="FootnoteText"/>
        <w:spacing w:before="60"/>
        <w:jc w:val="both"/>
        <w:rPr>
          <w:sz w:val="20"/>
        </w:rPr>
      </w:pPr>
      <w:r>
        <w:rPr>
          <w:rStyle w:val="FootnoteReference"/>
        </w:rPr>
        <w:footnoteRef/>
      </w:r>
      <w:r>
        <w:t xml:space="preserve"> </w:t>
      </w:r>
      <w:r>
        <w:rPr>
          <w:i/>
          <w:sz w:val="20"/>
        </w:rPr>
        <w:t xml:space="preserve">Id. </w:t>
      </w:r>
      <w:r>
        <w:rPr>
          <w:sz w:val="20"/>
        </w:rPr>
        <w:t>at 16.</w:t>
      </w:r>
    </w:p>
  </w:footnote>
  <w:footnote w:id="165">
    <w:p w14:paraId="0045C9EC" w14:textId="6F119622" w:rsidR="0084636B" w:rsidRDefault="0084636B" w:rsidP="00885A0E">
      <w:pPr>
        <w:pStyle w:val="FootnoteText"/>
        <w:spacing w:before="60"/>
        <w:jc w:val="both"/>
      </w:pPr>
      <w:r>
        <w:rPr>
          <w:rStyle w:val="FootnoteReference"/>
        </w:rPr>
        <w:footnoteRef/>
      </w:r>
      <w:r>
        <w:t xml:space="preserve"> </w:t>
      </w:r>
      <w:r w:rsidRPr="00885A0E">
        <w:rPr>
          <w:sz w:val="20"/>
        </w:rPr>
        <w:t xml:space="preserve">Angela Bowman, </w:t>
      </w:r>
      <w:r w:rsidRPr="00885A0E">
        <w:rPr>
          <w:i/>
          <w:sz w:val="20"/>
        </w:rPr>
        <w:t>WOTUS Survives</w:t>
      </w:r>
      <w:r w:rsidRPr="00885A0E">
        <w:rPr>
          <w:sz w:val="20"/>
        </w:rPr>
        <w:t>, Gulf Coast Cattleman, (Jan. 20, 2016) http://www.gulfcoastcattleman.com /</w:t>
      </w:r>
      <w:proofErr w:type="spellStart"/>
      <w:r w:rsidRPr="00885A0E">
        <w:rPr>
          <w:sz w:val="20"/>
        </w:rPr>
        <w:t>wotus</w:t>
      </w:r>
      <w:proofErr w:type="spellEnd"/>
      <w:r w:rsidRPr="00885A0E">
        <w:rPr>
          <w:sz w:val="20"/>
        </w:rPr>
        <w:t>-survives/.</w:t>
      </w:r>
    </w:p>
  </w:footnote>
  <w:footnote w:id="166">
    <w:p w14:paraId="2F5A0C3E" w14:textId="126C1498" w:rsidR="0084636B" w:rsidRDefault="0084636B" w:rsidP="008E44AE">
      <w:pPr>
        <w:pStyle w:val="FootnoteText"/>
        <w:jc w:val="both"/>
      </w:pPr>
      <w:r>
        <w:rPr>
          <w:rStyle w:val="FootnoteReference"/>
        </w:rPr>
        <w:footnoteRef/>
      </w:r>
      <w:r>
        <w:t xml:space="preserve"> </w:t>
      </w:r>
      <w:r>
        <w:rPr>
          <w:bCs/>
          <w:sz w:val="20"/>
        </w:rPr>
        <w:t xml:space="preserve">Hoover, </w:t>
      </w:r>
      <w:r>
        <w:rPr>
          <w:bCs/>
          <w:i/>
          <w:sz w:val="20"/>
        </w:rPr>
        <w:t xml:space="preserve">supra </w:t>
      </w:r>
      <w:r>
        <w:rPr>
          <w:bCs/>
          <w:sz w:val="20"/>
        </w:rPr>
        <w:t>note 67, at 9</w:t>
      </w:r>
    </w:p>
  </w:footnote>
  <w:footnote w:id="167">
    <w:p w14:paraId="5D86AF0B" w14:textId="683F6A69" w:rsidR="0084636B" w:rsidRPr="008E44AE" w:rsidRDefault="0084636B" w:rsidP="008E44AE">
      <w:pPr>
        <w:pStyle w:val="FootnoteText"/>
        <w:spacing w:before="60"/>
        <w:jc w:val="both"/>
      </w:pPr>
      <w:r>
        <w:rPr>
          <w:rStyle w:val="FootnoteReference"/>
        </w:rPr>
        <w:footnoteRef/>
      </w:r>
      <w:r>
        <w:t xml:space="preserve"> </w:t>
      </w:r>
      <w:r w:rsidRPr="008E44AE">
        <w:rPr>
          <w:sz w:val="20"/>
        </w:rPr>
        <w:t xml:space="preserve">Madsen, </w:t>
      </w:r>
      <w:r w:rsidRPr="008E44AE">
        <w:rPr>
          <w:i/>
          <w:sz w:val="20"/>
        </w:rPr>
        <w:t xml:space="preserve">supra </w:t>
      </w:r>
      <w:r>
        <w:rPr>
          <w:sz w:val="20"/>
        </w:rPr>
        <w:t>note 163</w:t>
      </w:r>
      <w:r w:rsidRPr="008E44AE">
        <w:rPr>
          <w:sz w:val="20"/>
        </w:rPr>
        <w:t>, at 18.</w:t>
      </w:r>
    </w:p>
  </w:footnote>
  <w:footnote w:id="168">
    <w:p w14:paraId="2B6AA27B" w14:textId="2BBAC868" w:rsidR="0084636B" w:rsidRPr="00A45911" w:rsidRDefault="0084636B" w:rsidP="003A09FF">
      <w:pPr>
        <w:pStyle w:val="FootnoteText"/>
        <w:spacing w:before="60"/>
        <w:jc w:val="both"/>
      </w:pPr>
      <w:r>
        <w:rPr>
          <w:rStyle w:val="FootnoteReference"/>
        </w:rPr>
        <w:footnoteRef/>
      </w:r>
      <w:r>
        <w:t xml:space="preserve"> </w:t>
      </w:r>
      <w:proofErr w:type="gramStart"/>
      <w:r w:rsidRPr="004D43F5">
        <w:rPr>
          <w:i/>
          <w:sz w:val="20"/>
        </w:rPr>
        <w:t xml:space="preserve">Id. </w:t>
      </w:r>
      <w:r>
        <w:rPr>
          <w:sz w:val="20"/>
        </w:rPr>
        <w:t>at 18-19.</w:t>
      </w:r>
      <w:proofErr w:type="gramEnd"/>
    </w:p>
  </w:footnote>
  <w:footnote w:id="169">
    <w:p w14:paraId="5B8FB02B" w14:textId="15B9F0F2" w:rsidR="0084636B" w:rsidRDefault="0084636B" w:rsidP="003A09FF">
      <w:pPr>
        <w:pStyle w:val="FootnoteText"/>
        <w:spacing w:before="60"/>
        <w:jc w:val="both"/>
      </w:pPr>
      <w:r>
        <w:rPr>
          <w:rStyle w:val="FootnoteReference"/>
        </w:rPr>
        <w:footnoteRef/>
      </w:r>
      <w:r w:rsidRPr="00E16907">
        <w:rPr>
          <w:i/>
          <w:sz w:val="20"/>
        </w:rPr>
        <w:t>Agribusiness</w:t>
      </w:r>
      <w:r w:rsidRPr="00E16907">
        <w:rPr>
          <w:sz w:val="20"/>
        </w:rPr>
        <w:t xml:space="preserve">, </w:t>
      </w:r>
      <w:r w:rsidRPr="00E16907">
        <w:rPr>
          <w:smallCaps/>
          <w:sz w:val="20"/>
          <w:szCs w:val="20"/>
        </w:rPr>
        <w:t>OpenSecrets.org: Center for Responsive Politics</w:t>
      </w:r>
      <w:r>
        <w:rPr>
          <w:sz w:val="20"/>
        </w:rPr>
        <w:t xml:space="preserve">, </w:t>
      </w:r>
      <w:r w:rsidRPr="00E16907">
        <w:rPr>
          <w:sz w:val="20"/>
        </w:rPr>
        <w:t>https://www.opensecrets.org/industries</w:t>
      </w:r>
      <w:r>
        <w:rPr>
          <w:sz w:val="20"/>
        </w:rPr>
        <w:br/>
        <w:t>/</w:t>
      </w:r>
      <w:proofErr w:type="spellStart"/>
      <w:r>
        <w:rPr>
          <w:sz w:val="20"/>
        </w:rPr>
        <w:t>indus.php</w:t>
      </w:r>
      <w:proofErr w:type="gramStart"/>
      <w:r>
        <w:rPr>
          <w:sz w:val="20"/>
        </w:rPr>
        <w:t>?cycle</w:t>
      </w:r>
      <w:proofErr w:type="spellEnd"/>
      <w:proofErr w:type="gramEnd"/>
      <w:r>
        <w:rPr>
          <w:sz w:val="20"/>
        </w:rPr>
        <w:t>=2016&amp;ind=A (last visited Apr. 10, 2017).</w:t>
      </w:r>
    </w:p>
  </w:footnote>
  <w:footnote w:id="170">
    <w:p w14:paraId="40E1A096" w14:textId="70E06947" w:rsidR="0084636B" w:rsidRPr="00E25AEE" w:rsidRDefault="0084636B" w:rsidP="003A09FF">
      <w:pPr>
        <w:pStyle w:val="FootnoteText"/>
        <w:spacing w:before="60"/>
        <w:jc w:val="both"/>
        <w:rPr>
          <w:i/>
          <w:sz w:val="20"/>
        </w:rPr>
      </w:pPr>
      <w:r>
        <w:rPr>
          <w:rStyle w:val="FootnoteReference"/>
        </w:rPr>
        <w:footnoteRef/>
      </w:r>
      <w:r>
        <w:t xml:space="preserve"> </w:t>
      </w:r>
      <w:r>
        <w:rPr>
          <w:i/>
          <w:sz w:val="20"/>
        </w:rPr>
        <w:t xml:space="preserve">Id. </w:t>
      </w:r>
    </w:p>
  </w:footnote>
  <w:footnote w:id="171">
    <w:p w14:paraId="12E140E2" w14:textId="2CEF9AFE" w:rsidR="0084636B" w:rsidRPr="00C3199B" w:rsidRDefault="0084636B" w:rsidP="003A09FF">
      <w:pPr>
        <w:pStyle w:val="FootnoteText"/>
        <w:spacing w:before="60"/>
        <w:jc w:val="both"/>
      </w:pPr>
      <w:r>
        <w:rPr>
          <w:rStyle w:val="FootnoteReference"/>
        </w:rPr>
        <w:footnoteRef/>
      </w:r>
      <w:r>
        <w:t xml:space="preserve"> </w:t>
      </w:r>
      <w:r w:rsidRPr="00C3199B">
        <w:rPr>
          <w:sz w:val="20"/>
          <w:szCs w:val="20"/>
        </w:rPr>
        <w:t xml:space="preserve">Simon, </w:t>
      </w:r>
      <w:r w:rsidRPr="00C3199B">
        <w:rPr>
          <w:i/>
          <w:sz w:val="20"/>
          <w:szCs w:val="20"/>
        </w:rPr>
        <w:t xml:space="preserve">supra </w:t>
      </w:r>
      <w:r>
        <w:rPr>
          <w:sz w:val="20"/>
          <w:szCs w:val="20"/>
        </w:rPr>
        <w:t>note 8, at 89</w:t>
      </w:r>
      <w:r w:rsidRPr="00C3199B">
        <w:rPr>
          <w:sz w:val="20"/>
          <w:szCs w:val="20"/>
        </w:rPr>
        <w:t xml:space="preserve">. </w:t>
      </w:r>
    </w:p>
  </w:footnote>
  <w:footnote w:id="172">
    <w:p w14:paraId="706867D1" w14:textId="004A0B81" w:rsidR="0084636B" w:rsidRDefault="0084636B" w:rsidP="003A09FF">
      <w:pPr>
        <w:pStyle w:val="FootnoteText"/>
        <w:spacing w:before="60"/>
        <w:jc w:val="both"/>
      </w:pPr>
      <w:r>
        <w:rPr>
          <w:rStyle w:val="FootnoteReference"/>
        </w:rPr>
        <w:footnoteRef/>
      </w:r>
      <w:r>
        <w:t xml:space="preserve"> </w:t>
      </w:r>
      <w:r w:rsidRPr="00F341C2">
        <w:rPr>
          <w:sz w:val="20"/>
          <w:szCs w:val="20"/>
        </w:rPr>
        <w:t xml:space="preserve">Sue Sturgis, </w:t>
      </w:r>
      <w:r w:rsidRPr="00F341C2">
        <w:rPr>
          <w:i/>
          <w:sz w:val="20"/>
          <w:szCs w:val="20"/>
        </w:rPr>
        <w:t xml:space="preserve">Civil Rights Battle Over N.C. Hog Industry Regulation Heats Up as Negotiations Break </w:t>
      </w:r>
      <w:r w:rsidRPr="00F341C2">
        <w:rPr>
          <w:sz w:val="20"/>
          <w:szCs w:val="20"/>
        </w:rPr>
        <w:t xml:space="preserve">Down, </w:t>
      </w:r>
      <w:r w:rsidRPr="00F341C2">
        <w:rPr>
          <w:smallCaps/>
          <w:sz w:val="20"/>
          <w:szCs w:val="20"/>
        </w:rPr>
        <w:t>Facing South: A Voice for a Changing South</w:t>
      </w:r>
      <w:r w:rsidRPr="00F341C2">
        <w:rPr>
          <w:sz w:val="20"/>
          <w:szCs w:val="20"/>
        </w:rPr>
        <w:t xml:space="preserve"> (Mar. 9, 2016), https://www.facingsouth.org/2016/03/civil-rights-battle-over-nc-hog-industry-regulatio (“‘</w:t>
      </w:r>
      <w:r>
        <w:rPr>
          <w:sz w:val="20"/>
          <w:szCs w:val="20"/>
        </w:rPr>
        <w:t>[DEQ]</w:t>
      </w:r>
      <w:r w:rsidRPr="00F341C2">
        <w:rPr>
          <w:sz w:val="20"/>
          <w:szCs w:val="20"/>
        </w:rPr>
        <w:t xml:space="preserve"> has clearly been captured by the industry,’ </w:t>
      </w:r>
      <w:proofErr w:type="spellStart"/>
      <w:r w:rsidRPr="00F341C2">
        <w:rPr>
          <w:sz w:val="20"/>
          <w:szCs w:val="20"/>
        </w:rPr>
        <w:t>Haddix</w:t>
      </w:r>
      <w:proofErr w:type="spellEnd"/>
      <w:r w:rsidRPr="00F341C2">
        <w:rPr>
          <w:sz w:val="20"/>
          <w:szCs w:val="20"/>
        </w:rPr>
        <w:t xml:space="preserve"> said. ‘This is the opposite of how government is supposed to work.’”)</w:t>
      </w:r>
    </w:p>
  </w:footnote>
  <w:footnote w:id="173">
    <w:p w14:paraId="3269313E" w14:textId="63535D2B" w:rsidR="0084636B" w:rsidRPr="00920141" w:rsidRDefault="0084636B" w:rsidP="003A09FF">
      <w:pPr>
        <w:pStyle w:val="FootnoteText"/>
        <w:spacing w:before="60"/>
        <w:jc w:val="both"/>
        <w:rPr>
          <w:i/>
        </w:rPr>
      </w:pPr>
      <w:r>
        <w:rPr>
          <w:rStyle w:val="FootnoteReference"/>
        </w:rPr>
        <w:footnoteRef/>
      </w:r>
      <w:r>
        <w:t xml:space="preserve"> </w:t>
      </w:r>
      <w:r w:rsidRPr="00920141">
        <w:rPr>
          <w:i/>
          <w:sz w:val="20"/>
          <w:szCs w:val="20"/>
        </w:rPr>
        <w:t>Id.</w:t>
      </w:r>
      <w:r>
        <w:rPr>
          <w:i/>
        </w:rPr>
        <w:t xml:space="preserve"> </w:t>
      </w:r>
    </w:p>
  </w:footnote>
  <w:footnote w:id="174">
    <w:p w14:paraId="040D6BC9" w14:textId="6BDD7520" w:rsidR="0084636B" w:rsidRDefault="0084636B" w:rsidP="003A09FF">
      <w:pPr>
        <w:pStyle w:val="FootnoteText"/>
        <w:spacing w:before="60"/>
        <w:jc w:val="both"/>
      </w:pPr>
      <w:r>
        <w:rPr>
          <w:rStyle w:val="FootnoteReference"/>
        </w:rPr>
        <w:footnoteRef/>
      </w:r>
      <w:r>
        <w:t xml:space="preserve"> </w:t>
      </w:r>
      <w:r w:rsidRPr="00513791">
        <w:rPr>
          <w:sz w:val="20"/>
          <w:szCs w:val="20"/>
        </w:rPr>
        <w:t xml:space="preserve">Pat </w:t>
      </w:r>
      <w:proofErr w:type="spellStart"/>
      <w:r w:rsidRPr="00513791">
        <w:rPr>
          <w:sz w:val="20"/>
          <w:szCs w:val="20"/>
        </w:rPr>
        <w:t>Stith</w:t>
      </w:r>
      <w:proofErr w:type="spellEnd"/>
      <w:r w:rsidRPr="00513791">
        <w:rPr>
          <w:sz w:val="20"/>
          <w:szCs w:val="20"/>
        </w:rPr>
        <w:t xml:space="preserve"> et al, </w:t>
      </w:r>
      <w:r w:rsidRPr="00513791">
        <w:rPr>
          <w:i/>
          <w:sz w:val="20"/>
          <w:szCs w:val="20"/>
        </w:rPr>
        <w:t>Boss Hog: The Power of Pork</w:t>
      </w:r>
      <w:r w:rsidRPr="00513791">
        <w:rPr>
          <w:sz w:val="20"/>
          <w:szCs w:val="20"/>
        </w:rPr>
        <w:t xml:space="preserve">, </w:t>
      </w:r>
      <w:r w:rsidRPr="00513791">
        <w:rPr>
          <w:smallCaps/>
          <w:sz w:val="20"/>
          <w:szCs w:val="20"/>
        </w:rPr>
        <w:t>The News &amp; Observer</w:t>
      </w:r>
      <w:r w:rsidRPr="00513791">
        <w:rPr>
          <w:sz w:val="20"/>
          <w:szCs w:val="20"/>
        </w:rPr>
        <w:t>, Feb. 19, 1995, http://archive.pulitzer.org/archives/5892.</w:t>
      </w:r>
    </w:p>
  </w:footnote>
  <w:footnote w:id="175">
    <w:p w14:paraId="57FD5E30" w14:textId="54AE009F" w:rsidR="0084636B" w:rsidRDefault="0084636B" w:rsidP="00592CCF">
      <w:pPr>
        <w:pStyle w:val="FootnoteText"/>
        <w:spacing w:before="60"/>
        <w:jc w:val="both"/>
      </w:pPr>
      <w:r>
        <w:rPr>
          <w:rStyle w:val="FootnoteReference"/>
        </w:rPr>
        <w:footnoteRef/>
      </w:r>
      <w:r>
        <w:t xml:space="preserve"> </w:t>
      </w:r>
      <w:r w:rsidRPr="00592CCF">
        <w:rPr>
          <w:sz w:val="20"/>
        </w:rPr>
        <w:t xml:space="preserve">Jernigan, </w:t>
      </w:r>
      <w:r w:rsidRPr="00592CCF">
        <w:rPr>
          <w:i/>
          <w:sz w:val="20"/>
        </w:rPr>
        <w:t xml:space="preserve">supra </w:t>
      </w:r>
      <w:r>
        <w:rPr>
          <w:sz w:val="20"/>
        </w:rPr>
        <w:t>note 84</w:t>
      </w:r>
      <w:r w:rsidRPr="00592CCF">
        <w:rPr>
          <w:sz w:val="20"/>
        </w:rPr>
        <w:t>, at 34.</w:t>
      </w:r>
    </w:p>
  </w:footnote>
  <w:footnote w:id="176">
    <w:p w14:paraId="2F74F1FA" w14:textId="51584CA0" w:rsidR="0084636B" w:rsidRPr="00F23281" w:rsidRDefault="0084636B" w:rsidP="00F23281">
      <w:pPr>
        <w:pStyle w:val="FootnoteText"/>
        <w:spacing w:before="60"/>
        <w:jc w:val="both"/>
        <w:rPr>
          <w:sz w:val="20"/>
        </w:rPr>
      </w:pPr>
      <w:r>
        <w:rPr>
          <w:rStyle w:val="FootnoteReference"/>
        </w:rPr>
        <w:footnoteRef/>
      </w:r>
      <w:r>
        <w:t xml:space="preserve"> </w:t>
      </w:r>
      <w:r>
        <w:rPr>
          <w:i/>
          <w:sz w:val="20"/>
        </w:rPr>
        <w:t xml:space="preserve">Id. </w:t>
      </w:r>
      <w:r>
        <w:rPr>
          <w:sz w:val="20"/>
        </w:rPr>
        <w:t xml:space="preserve">at 34 (quoting </w:t>
      </w:r>
      <w:proofErr w:type="spellStart"/>
      <w:r>
        <w:rPr>
          <w:sz w:val="20"/>
        </w:rPr>
        <w:t>Naeema</w:t>
      </w:r>
      <w:proofErr w:type="spellEnd"/>
      <w:r>
        <w:rPr>
          <w:sz w:val="20"/>
        </w:rPr>
        <w:t xml:space="preserve"> Muhammad, director of the North Carolina Environmental Justice Network).</w:t>
      </w:r>
    </w:p>
  </w:footnote>
  <w:footnote w:id="177">
    <w:p w14:paraId="67A73F7A" w14:textId="54A0B9A5" w:rsidR="0084636B" w:rsidRPr="00FD6E15" w:rsidRDefault="0084636B" w:rsidP="003C58BE">
      <w:pPr>
        <w:pStyle w:val="FootnoteText"/>
        <w:spacing w:before="60"/>
        <w:jc w:val="both"/>
        <w:rPr>
          <w:sz w:val="20"/>
        </w:rPr>
      </w:pPr>
      <w:r>
        <w:rPr>
          <w:rStyle w:val="FootnoteReference"/>
        </w:rPr>
        <w:footnoteRef/>
      </w:r>
      <w:r>
        <w:t xml:space="preserve"> </w:t>
      </w:r>
      <w:proofErr w:type="gramStart"/>
      <w:r>
        <w:rPr>
          <w:i/>
          <w:sz w:val="20"/>
        </w:rPr>
        <w:t xml:space="preserve">Id. </w:t>
      </w:r>
      <w:r>
        <w:rPr>
          <w:sz w:val="20"/>
        </w:rPr>
        <w:t>at 33.</w:t>
      </w:r>
      <w:proofErr w:type="gramEnd"/>
    </w:p>
  </w:footnote>
  <w:footnote w:id="178">
    <w:p w14:paraId="38ADB2D7" w14:textId="30B6D807" w:rsidR="0084636B" w:rsidRPr="003C58BE" w:rsidRDefault="0084636B" w:rsidP="003C58BE">
      <w:pPr>
        <w:pStyle w:val="FootnoteText"/>
        <w:spacing w:before="60"/>
        <w:rPr>
          <w:sz w:val="20"/>
        </w:rPr>
      </w:pPr>
      <w:r>
        <w:rPr>
          <w:rStyle w:val="FootnoteReference"/>
        </w:rPr>
        <w:footnoteRef/>
      </w:r>
      <w:r>
        <w:t xml:space="preserve"> </w:t>
      </w:r>
      <w:proofErr w:type="gramStart"/>
      <w:r>
        <w:rPr>
          <w:i/>
          <w:sz w:val="20"/>
        </w:rPr>
        <w:t xml:space="preserve">Id. </w:t>
      </w:r>
      <w:r>
        <w:rPr>
          <w:sz w:val="20"/>
        </w:rPr>
        <w:t>at 33-34.</w:t>
      </w:r>
      <w:proofErr w:type="gramEnd"/>
    </w:p>
  </w:footnote>
  <w:footnote w:id="179">
    <w:p w14:paraId="5F10B73A" w14:textId="660F09B4" w:rsidR="0084636B" w:rsidRPr="003C58BE" w:rsidRDefault="0084636B" w:rsidP="003C58BE">
      <w:pPr>
        <w:pStyle w:val="FootnoteText"/>
        <w:spacing w:before="60"/>
        <w:jc w:val="both"/>
      </w:pPr>
      <w:r>
        <w:rPr>
          <w:rStyle w:val="FootnoteReference"/>
        </w:rPr>
        <w:footnoteRef/>
      </w:r>
      <w:r>
        <w:t xml:space="preserve"> </w:t>
      </w:r>
      <w:r w:rsidRPr="003C58BE">
        <w:rPr>
          <w:i/>
          <w:sz w:val="20"/>
        </w:rPr>
        <w:t xml:space="preserve">Id. </w:t>
      </w:r>
      <w:r w:rsidRPr="003C58BE">
        <w:rPr>
          <w:sz w:val="20"/>
        </w:rPr>
        <w:t>at 34.</w:t>
      </w:r>
    </w:p>
  </w:footnote>
  <w:footnote w:id="180">
    <w:p w14:paraId="464F16C3" w14:textId="0C83ACCC" w:rsidR="0084636B" w:rsidRDefault="0084636B">
      <w:pPr>
        <w:pStyle w:val="FootnoteText"/>
      </w:pPr>
      <w:r>
        <w:rPr>
          <w:rStyle w:val="FootnoteReference"/>
        </w:rPr>
        <w:footnoteRef/>
      </w:r>
      <w:r>
        <w:t xml:space="preserve"> </w:t>
      </w:r>
      <w:r w:rsidRPr="00053347">
        <w:rPr>
          <w:sz w:val="20"/>
          <w:szCs w:val="20"/>
        </w:rPr>
        <w:t xml:space="preserve">Skolnick, </w:t>
      </w:r>
      <w:r w:rsidRPr="00053347">
        <w:rPr>
          <w:i/>
          <w:sz w:val="20"/>
          <w:szCs w:val="20"/>
        </w:rPr>
        <w:t>supra</w:t>
      </w:r>
      <w:r>
        <w:rPr>
          <w:sz w:val="20"/>
          <w:szCs w:val="20"/>
        </w:rPr>
        <w:t xml:space="preserve"> note 32</w:t>
      </w:r>
      <w:r w:rsidRPr="00053347">
        <w:rPr>
          <w:sz w:val="20"/>
          <w:szCs w:val="20"/>
        </w:rPr>
        <w:t>.</w:t>
      </w:r>
      <w:r>
        <w:rPr>
          <w:sz w:val="20"/>
          <w:szCs w:val="20"/>
        </w:rPr>
        <w:t xml:space="preserve"> </w:t>
      </w:r>
      <w:r>
        <w:rPr>
          <w:i/>
          <w:sz w:val="20"/>
        </w:rPr>
        <w:t xml:space="preserve">See supra </w:t>
      </w:r>
      <w:r>
        <w:rPr>
          <w:sz w:val="20"/>
        </w:rPr>
        <w:t>notes 20 and 33, and accompanying text, for more of Professor Wing’s research.</w:t>
      </w:r>
    </w:p>
  </w:footnote>
  <w:footnote w:id="181">
    <w:p w14:paraId="3F0FC869" w14:textId="5AF58417" w:rsidR="0084636B" w:rsidRDefault="0084636B" w:rsidP="002B366C">
      <w:pPr>
        <w:pStyle w:val="FootnoteText"/>
        <w:jc w:val="both"/>
      </w:pPr>
      <w:r>
        <w:rPr>
          <w:rStyle w:val="FootnoteReference"/>
        </w:rPr>
        <w:footnoteRef/>
      </w:r>
      <w:r>
        <w:t xml:space="preserve"> </w:t>
      </w:r>
      <w:r w:rsidRPr="002B366C">
        <w:rPr>
          <w:sz w:val="20"/>
        </w:rPr>
        <w:t xml:space="preserve">EPA helped fund this study through a small grant to REACH. </w:t>
      </w:r>
      <w:r w:rsidRPr="002B366C">
        <w:rPr>
          <w:i/>
          <w:sz w:val="20"/>
        </w:rPr>
        <w:t xml:space="preserve">Grant Awards </w:t>
      </w:r>
      <w:r w:rsidRPr="002B366C">
        <w:rPr>
          <w:sz w:val="20"/>
        </w:rPr>
        <w:t>Database, EPA (last updated Mar. 17, 2017), https://yosemite.epa.gov/oarm/igms_egf.nsf/9e9c2a5934a808d585256fb6006df292/2bad6665e2b5ab</w:t>
      </w:r>
      <w:r>
        <w:rPr>
          <w:sz w:val="20"/>
        </w:rPr>
        <w:br/>
      </w:r>
      <w:r w:rsidRPr="002B366C">
        <w:rPr>
          <w:sz w:val="20"/>
        </w:rPr>
        <w:t>7785257d6f0071d5e4!OpenDocument&amp;ExpandSection=-4&amp;Click=.</w:t>
      </w:r>
    </w:p>
  </w:footnote>
  <w:footnote w:id="182">
    <w:p w14:paraId="7E3087F0" w14:textId="1B941471" w:rsidR="0084636B" w:rsidRPr="00053347" w:rsidRDefault="0084636B" w:rsidP="00053347">
      <w:pPr>
        <w:pStyle w:val="FootnoteText"/>
        <w:spacing w:before="60"/>
        <w:jc w:val="both"/>
        <w:rPr>
          <w:i/>
          <w:sz w:val="20"/>
          <w:szCs w:val="20"/>
        </w:rPr>
      </w:pPr>
      <w:r w:rsidRPr="00053347">
        <w:rPr>
          <w:rStyle w:val="FootnoteReference"/>
          <w:sz w:val="20"/>
          <w:szCs w:val="20"/>
        </w:rPr>
        <w:footnoteRef/>
      </w:r>
      <w:r w:rsidRPr="00053347">
        <w:rPr>
          <w:sz w:val="20"/>
          <w:szCs w:val="20"/>
        </w:rPr>
        <w:t xml:space="preserve"> Skolnick, </w:t>
      </w:r>
      <w:r w:rsidRPr="00053347">
        <w:rPr>
          <w:i/>
          <w:sz w:val="20"/>
          <w:szCs w:val="20"/>
        </w:rPr>
        <w:t>supra</w:t>
      </w:r>
      <w:r>
        <w:rPr>
          <w:sz w:val="20"/>
          <w:szCs w:val="20"/>
        </w:rPr>
        <w:t xml:space="preserve"> note 32</w:t>
      </w:r>
      <w:r w:rsidRPr="00053347">
        <w:rPr>
          <w:sz w:val="20"/>
          <w:szCs w:val="20"/>
        </w:rPr>
        <w:t>.</w:t>
      </w:r>
    </w:p>
  </w:footnote>
  <w:footnote w:id="183">
    <w:p w14:paraId="35FD10AE" w14:textId="401620F5" w:rsidR="0084636B" w:rsidRPr="00053347" w:rsidRDefault="0084636B" w:rsidP="00053347">
      <w:pPr>
        <w:pStyle w:val="FootnoteText"/>
        <w:spacing w:before="60"/>
        <w:jc w:val="both"/>
        <w:rPr>
          <w:sz w:val="20"/>
          <w:szCs w:val="20"/>
        </w:rPr>
      </w:pPr>
      <w:r w:rsidRPr="00053347">
        <w:rPr>
          <w:rStyle w:val="FootnoteReference"/>
          <w:sz w:val="20"/>
          <w:szCs w:val="20"/>
        </w:rPr>
        <w:footnoteRef/>
      </w:r>
      <w:r w:rsidRPr="00053347">
        <w:rPr>
          <w:sz w:val="20"/>
          <w:szCs w:val="20"/>
        </w:rPr>
        <w:t xml:space="preserve"> </w:t>
      </w:r>
      <w:r w:rsidRPr="00053347">
        <w:rPr>
          <w:i/>
          <w:sz w:val="20"/>
          <w:szCs w:val="20"/>
        </w:rPr>
        <w:t xml:space="preserve">Id. </w:t>
      </w:r>
      <w:r w:rsidRPr="00053347">
        <w:rPr>
          <w:sz w:val="20"/>
          <w:szCs w:val="20"/>
        </w:rPr>
        <w:t>(“Hall set up the equipment and asked residents to fill out a journal in the morning and in the evening. ‘There's more activity at the CAFOs around sunrise and sunset,’ Hall said. ‘Usually they're flushing out the waste first thing in the morning.’”).</w:t>
      </w:r>
    </w:p>
  </w:footnote>
  <w:footnote w:id="184">
    <w:p w14:paraId="1B9A189A" w14:textId="427CB63F" w:rsidR="0084636B" w:rsidRPr="00053347" w:rsidRDefault="0084636B" w:rsidP="00053347">
      <w:pPr>
        <w:pStyle w:val="FootnoteText"/>
        <w:spacing w:before="60"/>
        <w:jc w:val="both"/>
        <w:rPr>
          <w:i/>
          <w:sz w:val="20"/>
          <w:szCs w:val="20"/>
        </w:rPr>
      </w:pPr>
      <w:r w:rsidRPr="00053347">
        <w:rPr>
          <w:rStyle w:val="FootnoteReference"/>
          <w:sz w:val="20"/>
          <w:szCs w:val="20"/>
        </w:rPr>
        <w:footnoteRef/>
      </w:r>
      <w:r w:rsidRPr="00053347">
        <w:rPr>
          <w:sz w:val="20"/>
          <w:szCs w:val="20"/>
        </w:rPr>
        <w:t xml:space="preserve"> </w:t>
      </w:r>
      <w:r w:rsidRPr="00053347">
        <w:rPr>
          <w:i/>
          <w:sz w:val="20"/>
          <w:szCs w:val="20"/>
        </w:rPr>
        <w:t>Id.</w:t>
      </w:r>
    </w:p>
  </w:footnote>
  <w:footnote w:id="185">
    <w:p w14:paraId="399D054B" w14:textId="45686FEB" w:rsidR="0084636B" w:rsidRPr="00053347" w:rsidRDefault="0084636B" w:rsidP="00053347">
      <w:pPr>
        <w:pStyle w:val="FootnoteText"/>
        <w:spacing w:before="60"/>
        <w:jc w:val="both"/>
        <w:rPr>
          <w:i/>
          <w:sz w:val="20"/>
          <w:szCs w:val="20"/>
        </w:rPr>
      </w:pPr>
      <w:r w:rsidRPr="00053347">
        <w:rPr>
          <w:rStyle w:val="FootnoteReference"/>
          <w:sz w:val="20"/>
          <w:szCs w:val="20"/>
        </w:rPr>
        <w:footnoteRef/>
      </w:r>
      <w:r w:rsidRPr="00053347">
        <w:rPr>
          <w:sz w:val="20"/>
          <w:szCs w:val="20"/>
        </w:rPr>
        <w:t xml:space="preserve"> </w:t>
      </w:r>
      <w:r w:rsidRPr="00053347">
        <w:rPr>
          <w:i/>
          <w:sz w:val="20"/>
          <w:szCs w:val="20"/>
        </w:rPr>
        <w:t xml:space="preserve">Id. </w:t>
      </w:r>
    </w:p>
  </w:footnote>
  <w:footnote w:id="186">
    <w:p w14:paraId="4EB9D9EC" w14:textId="0F898E85" w:rsidR="0084636B" w:rsidRPr="00053347" w:rsidRDefault="0084636B" w:rsidP="00053347">
      <w:pPr>
        <w:pStyle w:val="FootnoteText"/>
        <w:spacing w:before="60"/>
        <w:jc w:val="both"/>
        <w:rPr>
          <w:sz w:val="20"/>
          <w:szCs w:val="20"/>
        </w:rPr>
      </w:pPr>
      <w:r w:rsidRPr="00053347">
        <w:rPr>
          <w:rStyle w:val="FootnoteReference"/>
          <w:sz w:val="20"/>
          <w:szCs w:val="20"/>
        </w:rPr>
        <w:footnoteRef/>
      </w:r>
      <w:r w:rsidRPr="00053347">
        <w:rPr>
          <w:sz w:val="20"/>
          <w:szCs w:val="20"/>
        </w:rPr>
        <w:t xml:space="preserve"> </w:t>
      </w:r>
      <w:r>
        <w:rPr>
          <w:i/>
          <w:sz w:val="20"/>
          <w:szCs w:val="20"/>
        </w:rPr>
        <w:t>Id.</w:t>
      </w:r>
      <w:r w:rsidRPr="00053347">
        <w:rPr>
          <w:sz w:val="20"/>
          <w:szCs w:val="20"/>
        </w:rPr>
        <w:t xml:space="preserve"> </w:t>
      </w:r>
    </w:p>
  </w:footnote>
  <w:footnote w:id="187">
    <w:p w14:paraId="35DD9629" w14:textId="6515F913" w:rsidR="0084636B" w:rsidRDefault="0084636B">
      <w:pPr>
        <w:pStyle w:val="FootnoteText"/>
      </w:pPr>
      <w:r>
        <w:rPr>
          <w:rStyle w:val="FootnoteReference"/>
        </w:rPr>
        <w:footnoteRef/>
      </w:r>
      <w:r>
        <w:t xml:space="preserve"> </w:t>
      </w:r>
      <w:r>
        <w:rPr>
          <w:i/>
          <w:sz w:val="20"/>
          <w:szCs w:val="20"/>
        </w:rPr>
        <w:t>Id.</w:t>
      </w:r>
    </w:p>
  </w:footnote>
  <w:footnote w:id="188">
    <w:p w14:paraId="0249747B" w14:textId="240D8604" w:rsidR="0084636B" w:rsidRDefault="0084636B">
      <w:pPr>
        <w:pStyle w:val="FootnoteText"/>
      </w:pPr>
      <w:r>
        <w:rPr>
          <w:rStyle w:val="FootnoteReference"/>
        </w:rPr>
        <w:footnoteRef/>
      </w:r>
      <w:r>
        <w:t xml:space="preserve"> </w:t>
      </w:r>
      <w:r>
        <w:rPr>
          <w:i/>
          <w:sz w:val="20"/>
          <w:szCs w:val="20"/>
        </w:rPr>
        <w:t>Id.</w:t>
      </w:r>
    </w:p>
  </w:footnote>
  <w:footnote w:id="189">
    <w:p w14:paraId="47BC50EC" w14:textId="31315092" w:rsidR="0084636B" w:rsidRPr="00BF7A15" w:rsidRDefault="0084636B" w:rsidP="005E4080">
      <w:pPr>
        <w:pStyle w:val="FootnoteText"/>
        <w:spacing w:before="60"/>
        <w:jc w:val="both"/>
      </w:pPr>
      <w:r>
        <w:rPr>
          <w:rStyle w:val="FootnoteReference"/>
        </w:rPr>
        <w:footnoteRef/>
      </w:r>
      <w:r>
        <w:t xml:space="preserve"> </w:t>
      </w:r>
      <w:r w:rsidRPr="00BF7A15">
        <w:rPr>
          <w:i/>
          <w:sz w:val="20"/>
        </w:rPr>
        <w:t xml:space="preserve">Id. </w:t>
      </w:r>
      <w:r w:rsidRPr="00BF7A15">
        <w:rPr>
          <w:sz w:val="20"/>
        </w:rPr>
        <w:t xml:space="preserve">(quoting Devon Hall, cofounder of REACH). </w:t>
      </w:r>
    </w:p>
  </w:footnote>
  <w:footnote w:id="190">
    <w:p w14:paraId="0AB6DDE5" w14:textId="1A0C670A" w:rsidR="0084636B" w:rsidRDefault="0084636B" w:rsidP="005E4080">
      <w:pPr>
        <w:pStyle w:val="FootnoteText"/>
        <w:spacing w:before="60"/>
        <w:jc w:val="both"/>
      </w:pPr>
      <w:r>
        <w:rPr>
          <w:rStyle w:val="FootnoteReference"/>
        </w:rPr>
        <w:footnoteRef/>
      </w:r>
      <w:r>
        <w:t xml:space="preserve"> </w:t>
      </w:r>
      <w:r w:rsidRPr="00F01FF7">
        <w:rPr>
          <w:sz w:val="20"/>
          <w:szCs w:val="20"/>
        </w:rPr>
        <w:t xml:space="preserve">Jernigan, </w:t>
      </w:r>
      <w:r w:rsidRPr="00F01FF7">
        <w:rPr>
          <w:i/>
          <w:sz w:val="20"/>
          <w:szCs w:val="20"/>
        </w:rPr>
        <w:t xml:space="preserve">supra </w:t>
      </w:r>
      <w:r>
        <w:rPr>
          <w:sz w:val="20"/>
          <w:szCs w:val="20"/>
        </w:rPr>
        <w:t>note 84</w:t>
      </w:r>
      <w:r w:rsidRPr="00F01FF7">
        <w:rPr>
          <w:sz w:val="20"/>
          <w:szCs w:val="20"/>
        </w:rPr>
        <w:t>, at 35</w:t>
      </w:r>
      <w:r>
        <w:rPr>
          <w:sz w:val="20"/>
          <w:szCs w:val="20"/>
        </w:rPr>
        <w:t>.</w:t>
      </w:r>
    </w:p>
  </w:footnote>
  <w:footnote w:id="191">
    <w:p w14:paraId="6DC90511" w14:textId="405D61B3" w:rsidR="0084636B" w:rsidRDefault="0084636B" w:rsidP="005E4080">
      <w:pPr>
        <w:pStyle w:val="FootnoteText"/>
        <w:spacing w:before="60"/>
      </w:pPr>
      <w:r>
        <w:rPr>
          <w:rStyle w:val="FootnoteReference"/>
        </w:rPr>
        <w:footnoteRef/>
      </w:r>
      <w:r>
        <w:t xml:space="preserve"> </w:t>
      </w:r>
      <w:r w:rsidRPr="00053347">
        <w:rPr>
          <w:sz w:val="20"/>
          <w:szCs w:val="20"/>
        </w:rPr>
        <w:t xml:space="preserve">Skolnick, </w:t>
      </w:r>
      <w:r w:rsidRPr="00053347">
        <w:rPr>
          <w:i/>
          <w:sz w:val="20"/>
          <w:szCs w:val="20"/>
        </w:rPr>
        <w:t>supra</w:t>
      </w:r>
      <w:r>
        <w:rPr>
          <w:sz w:val="20"/>
          <w:szCs w:val="20"/>
        </w:rPr>
        <w:t xml:space="preserve"> note 32</w:t>
      </w:r>
      <w:r w:rsidRPr="00053347">
        <w:rPr>
          <w:sz w:val="20"/>
          <w:szCs w:val="20"/>
        </w:rPr>
        <w:t>.</w:t>
      </w:r>
    </w:p>
  </w:footnote>
  <w:footnote w:id="192">
    <w:p w14:paraId="1CC2C1F7" w14:textId="18B69A1B" w:rsidR="0084636B" w:rsidRPr="0088798B" w:rsidRDefault="0084636B" w:rsidP="005E4080">
      <w:pPr>
        <w:pStyle w:val="FootnoteText"/>
        <w:spacing w:before="60"/>
        <w:jc w:val="both"/>
        <w:rPr>
          <w:i/>
        </w:rPr>
      </w:pPr>
      <w:r>
        <w:rPr>
          <w:rStyle w:val="FootnoteReference"/>
        </w:rPr>
        <w:footnoteRef/>
      </w:r>
      <w:r>
        <w:t xml:space="preserve"> </w:t>
      </w:r>
      <w:r w:rsidRPr="0088798B">
        <w:rPr>
          <w:i/>
          <w:sz w:val="20"/>
          <w:szCs w:val="20"/>
        </w:rPr>
        <w:t>Id.</w:t>
      </w:r>
    </w:p>
  </w:footnote>
  <w:footnote w:id="193">
    <w:p w14:paraId="435BBB9B" w14:textId="29BFFF79" w:rsidR="0084636B" w:rsidRDefault="0084636B" w:rsidP="00B57F5C">
      <w:pPr>
        <w:pStyle w:val="FootnoteText"/>
        <w:jc w:val="both"/>
      </w:pPr>
      <w:r>
        <w:rPr>
          <w:rStyle w:val="FootnoteReference"/>
        </w:rPr>
        <w:footnoteRef/>
      </w:r>
      <w:r>
        <w:t xml:space="preserve"> </w:t>
      </w:r>
      <w:r>
        <w:rPr>
          <w:sz w:val="20"/>
        </w:rPr>
        <w:t xml:space="preserve">Lisa </w:t>
      </w:r>
      <w:proofErr w:type="spellStart"/>
      <w:r>
        <w:rPr>
          <w:sz w:val="20"/>
        </w:rPr>
        <w:t>Sorg</w:t>
      </w:r>
      <w:proofErr w:type="spellEnd"/>
      <w:r>
        <w:rPr>
          <w:sz w:val="20"/>
        </w:rPr>
        <w:t xml:space="preserve">, </w:t>
      </w:r>
      <w:r>
        <w:rPr>
          <w:i/>
          <w:sz w:val="20"/>
        </w:rPr>
        <w:t>EPA to NC DEQ: “Grave Concerns” About Swine Industry’s Intimidation of Minority Residents</w:t>
      </w:r>
      <w:r>
        <w:rPr>
          <w:sz w:val="20"/>
        </w:rPr>
        <w:t xml:space="preserve">, </w:t>
      </w:r>
      <w:r w:rsidRPr="00CA0C64">
        <w:rPr>
          <w:smallCaps/>
          <w:sz w:val="20"/>
          <w:szCs w:val="20"/>
        </w:rPr>
        <w:t>NC Policy Watch</w:t>
      </w:r>
      <w:r>
        <w:rPr>
          <w:sz w:val="20"/>
        </w:rPr>
        <w:t xml:space="preserve"> (Jan. 25, 2017), </w:t>
      </w:r>
      <w:r w:rsidRPr="00CA0C64">
        <w:rPr>
          <w:sz w:val="20"/>
        </w:rPr>
        <w:t>http://www.ncpolicywatch.com/2017/01/25/epa-nc-deq-grave-concerns-swine-industrys-intimidation-minority-residents/</w:t>
      </w:r>
      <w:r>
        <w:rPr>
          <w:sz w:val="20"/>
        </w:rPr>
        <w:t>.</w:t>
      </w:r>
    </w:p>
  </w:footnote>
  <w:footnote w:id="194">
    <w:p w14:paraId="0CFE0FEB" w14:textId="33D7494A" w:rsidR="0084636B" w:rsidRPr="0088798B" w:rsidRDefault="0084636B" w:rsidP="005E4080">
      <w:pPr>
        <w:pStyle w:val="FootnoteText"/>
        <w:spacing w:before="60"/>
        <w:jc w:val="both"/>
        <w:rPr>
          <w:i/>
        </w:rPr>
      </w:pPr>
      <w:r>
        <w:rPr>
          <w:rStyle w:val="FootnoteReference"/>
        </w:rPr>
        <w:footnoteRef/>
      </w:r>
      <w:r>
        <w:t xml:space="preserve"> </w:t>
      </w:r>
      <w:r w:rsidRPr="00053347">
        <w:rPr>
          <w:sz w:val="20"/>
          <w:szCs w:val="20"/>
        </w:rPr>
        <w:t xml:space="preserve">Skolnick, </w:t>
      </w:r>
      <w:r w:rsidRPr="00053347">
        <w:rPr>
          <w:i/>
          <w:sz w:val="20"/>
          <w:szCs w:val="20"/>
        </w:rPr>
        <w:t>supra</w:t>
      </w:r>
      <w:r>
        <w:rPr>
          <w:sz w:val="20"/>
          <w:szCs w:val="20"/>
        </w:rPr>
        <w:t xml:space="preserve"> note 32</w:t>
      </w:r>
      <w:r w:rsidRPr="00053347">
        <w:rPr>
          <w:sz w:val="20"/>
          <w:szCs w:val="20"/>
        </w:rPr>
        <w:t>.</w:t>
      </w:r>
    </w:p>
  </w:footnote>
  <w:footnote w:id="195">
    <w:p w14:paraId="2416ED39" w14:textId="0C1BF23A" w:rsidR="0084636B" w:rsidRPr="0088798B" w:rsidRDefault="0084636B" w:rsidP="005E4080">
      <w:pPr>
        <w:pStyle w:val="FootnoteText"/>
        <w:spacing w:before="60"/>
        <w:jc w:val="both"/>
        <w:rPr>
          <w:i/>
        </w:rPr>
      </w:pPr>
      <w:r>
        <w:rPr>
          <w:rStyle w:val="FootnoteReference"/>
        </w:rPr>
        <w:footnoteRef/>
      </w:r>
      <w:r>
        <w:t xml:space="preserve"> </w:t>
      </w:r>
      <w:r w:rsidRPr="0088798B">
        <w:rPr>
          <w:i/>
          <w:sz w:val="20"/>
          <w:szCs w:val="20"/>
        </w:rPr>
        <w:t>Id.</w:t>
      </w:r>
      <w:r>
        <w:rPr>
          <w:i/>
        </w:rPr>
        <w:t xml:space="preserve"> </w:t>
      </w:r>
    </w:p>
  </w:footnote>
  <w:footnote w:id="196">
    <w:p w14:paraId="25A06B37" w14:textId="34894D89" w:rsidR="0084636B" w:rsidRPr="00C5443A" w:rsidRDefault="0084636B" w:rsidP="005E4080">
      <w:pPr>
        <w:pStyle w:val="FootnoteText"/>
        <w:spacing w:before="60"/>
        <w:jc w:val="both"/>
      </w:pPr>
      <w:r>
        <w:rPr>
          <w:rStyle w:val="FootnoteReference"/>
        </w:rPr>
        <w:footnoteRef/>
      </w:r>
      <w:r>
        <w:t xml:space="preserve"> </w:t>
      </w:r>
      <w:r w:rsidRPr="00C5443A">
        <w:rPr>
          <w:sz w:val="20"/>
          <w:szCs w:val="20"/>
        </w:rPr>
        <w:t xml:space="preserve">Sue Sturgis, </w:t>
      </w:r>
      <w:r w:rsidRPr="00C5443A">
        <w:rPr>
          <w:i/>
          <w:sz w:val="20"/>
          <w:szCs w:val="20"/>
        </w:rPr>
        <w:t>A Step Toward Environmental Justice in North Carolina’s Hog Country</w:t>
      </w:r>
      <w:r w:rsidRPr="00C5443A">
        <w:rPr>
          <w:sz w:val="20"/>
          <w:szCs w:val="20"/>
        </w:rPr>
        <w:t xml:space="preserve">, </w:t>
      </w:r>
      <w:r w:rsidRPr="00C5443A">
        <w:rPr>
          <w:smallCaps/>
          <w:sz w:val="20"/>
          <w:szCs w:val="20"/>
        </w:rPr>
        <w:t>Facing South</w:t>
      </w:r>
      <w:r w:rsidRPr="00C5443A">
        <w:rPr>
          <w:sz w:val="20"/>
          <w:szCs w:val="20"/>
        </w:rPr>
        <w:t xml:space="preserve"> (Feb. 3, 2017), </w:t>
      </w:r>
      <w:proofErr w:type="gramStart"/>
      <w:r w:rsidRPr="00F95BAF">
        <w:rPr>
          <w:sz w:val="20"/>
          <w:szCs w:val="20"/>
        </w:rPr>
        <w:t>https</w:t>
      </w:r>
      <w:proofErr w:type="gramEnd"/>
      <w:r w:rsidRPr="00F95BAF">
        <w:rPr>
          <w:sz w:val="20"/>
          <w:szCs w:val="20"/>
        </w:rPr>
        <w:t>://www.facingsouth.org/2017/02/step-toward-environmental-justice-north-carolinas-hog-country</w:t>
      </w:r>
      <w:r w:rsidRPr="00C5443A">
        <w:rPr>
          <w:sz w:val="20"/>
          <w:szCs w:val="20"/>
        </w:rPr>
        <w:t>.</w:t>
      </w:r>
      <w:r>
        <w:rPr>
          <w:sz w:val="20"/>
          <w:szCs w:val="20"/>
        </w:rPr>
        <w:t xml:space="preserve"> </w:t>
      </w:r>
    </w:p>
  </w:footnote>
  <w:footnote w:id="197">
    <w:p w14:paraId="29529A19" w14:textId="69732FE5" w:rsidR="0084636B" w:rsidRPr="00F95BAF" w:rsidRDefault="0084636B" w:rsidP="00DC37FE">
      <w:pPr>
        <w:pStyle w:val="FootnoteText"/>
        <w:spacing w:before="60"/>
        <w:jc w:val="both"/>
        <w:rPr>
          <w:sz w:val="20"/>
        </w:rPr>
      </w:pPr>
      <w:r w:rsidRPr="00053347">
        <w:rPr>
          <w:rStyle w:val="FootnoteReference"/>
          <w:sz w:val="20"/>
          <w:szCs w:val="20"/>
        </w:rPr>
        <w:footnoteRef/>
      </w:r>
      <w:r w:rsidRPr="00053347">
        <w:rPr>
          <w:sz w:val="20"/>
          <w:szCs w:val="20"/>
        </w:rPr>
        <w:t xml:space="preserve"> </w:t>
      </w:r>
      <w:r w:rsidRPr="00592CCF">
        <w:rPr>
          <w:sz w:val="20"/>
        </w:rPr>
        <w:t xml:space="preserve">Jernigan, </w:t>
      </w:r>
      <w:r w:rsidRPr="00592CCF">
        <w:rPr>
          <w:i/>
          <w:sz w:val="20"/>
        </w:rPr>
        <w:t xml:space="preserve">supra </w:t>
      </w:r>
      <w:r>
        <w:rPr>
          <w:sz w:val="20"/>
        </w:rPr>
        <w:t>note 84, at 35</w:t>
      </w:r>
      <w:r w:rsidRPr="00592CCF">
        <w:rPr>
          <w:sz w:val="20"/>
        </w:rPr>
        <w:t>.</w:t>
      </w:r>
      <w:r>
        <w:rPr>
          <w:sz w:val="20"/>
        </w:rPr>
        <w:t xml:space="preserve"> </w:t>
      </w:r>
    </w:p>
  </w:footnote>
  <w:footnote w:id="198">
    <w:p w14:paraId="14311D87" w14:textId="3CAF8E01" w:rsidR="0084636B" w:rsidRPr="009F41E5" w:rsidRDefault="0084636B" w:rsidP="00DC37FE">
      <w:pPr>
        <w:pStyle w:val="FootnoteText"/>
        <w:spacing w:before="60"/>
        <w:jc w:val="both"/>
        <w:rPr>
          <w:i/>
        </w:rPr>
      </w:pPr>
      <w:r>
        <w:rPr>
          <w:rStyle w:val="FootnoteReference"/>
        </w:rPr>
        <w:footnoteRef/>
      </w:r>
      <w:r>
        <w:t xml:space="preserve"> </w:t>
      </w:r>
      <w:r w:rsidRPr="009F41E5">
        <w:rPr>
          <w:i/>
          <w:sz w:val="20"/>
        </w:rPr>
        <w:t xml:space="preserve">Id. </w:t>
      </w:r>
      <w:r w:rsidRPr="009F41E5">
        <w:rPr>
          <w:sz w:val="20"/>
        </w:rPr>
        <w:t xml:space="preserve">Jernigan, </w:t>
      </w:r>
      <w:r>
        <w:rPr>
          <w:sz w:val="20"/>
        </w:rPr>
        <w:t>supra note 84</w:t>
      </w:r>
      <w:r w:rsidRPr="009F41E5">
        <w:rPr>
          <w:sz w:val="20"/>
        </w:rPr>
        <w:t xml:space="preserve">, at 35 (quoting </w:t>
      </w:r>
      <w:proofErr w:type="spellStart"/>
      <w:r w:rsidRPr="009F41E5">
        <w:rPr>
          <w:sz w:val="20"/>
        </w:rPr>
        <w:t>Naeema</w:t>
      </w:r>
      <w:proofErr w:type="spellEnd"/>
      <w:r w:rsidRPr="009F41E5">
        <w:rPr>
          <w:sz w:val="20"/>
        </w:rPr>
        <w:t xml:space="preserve"> Muhammad, director of the North Carolina Environmental Justice Network). </w:t>
      </w:r>
      <w:r w:rsidRPr="009F41E5">
        <w:rPr>
          <w:i/>
          <w:sz w:val="20"/>
        </w:rPr>
        <w:t xml:space="preserve">See </w:t>
      </w:r>
      <w:r w:rsidRPr="007D089F">
        <w:rPr>
          <w:sz w:val="20"/>
          <w:szCs w:val="20"/>
        </w:rPr>
        <w:t xml:space="preserve">North Carolina Department of Environmental </w:t>
      </w:r>
      <w:proofErr w:type="gramStart"/>
      <w:r w:rsidRPr="007D089F">
        <w:rPr>
          <w:sz w:val="20"/>
          <w:szCs w:val="20"/>
        </w:rPr>
        <w:t>Quality</w:t>
      </w:r>
      <w:r>
        <w:rPr>
          <w:sz w:val="20"/>
        </w:rPr>
        <w:t>,</w:t>
      </w:r>
      <w:proofErr w:type="gramEnd"/>
      <w:r>
        <w:rPr>
          <w:sz w:val="20"/>
        </w:rPr>
        <w:t xml:space="preserve"> </w:t>
      </w:r>
      <w:r w:rsidRPr="009F41E5">
        <w:rPr>
          <w:i/>
          <w:sz w:val="20"/>
        </w:rPr>
        <w:t>supra</w:t>
      </w:r>
      <w:r>
        <w:rPr>
          <w:sz w:val="20"/>
        </w:rPr>
        <w:t xml:space="preserve"> note</w:t>
      </w:r>
      <w:r w:rsidRPr="009F41E5">
        <w:rPr>
          <w:sz w:val="20"/>
        </w:rPr>
        <w:t xml:space="preserve"> 1</w:t>
      </w:r>
      <w:r>
        <w:rPr>
          <w:sz w:val="20"/>
        </w:rPr>
        <w:t xml:space="preserve">54 </w:t>
      </w:r>
      <w:r w:rsidRPr="009F41E5">
        <w:rPr>
          <w:sz w:val="20"/>
        </w:rPr>
        <w:t>and accompanying text.</w:t>
      </w:r>
    </w:p>
  </w:footnote>
  <w:footnote w:id="199">
    <w:p w14:paraId="61001F42" w14:textId="742517B2" w:rsidR="0084636B" w:rsidRDefault="0084636B" w:rsidP="00DC37FE">
      <w:pPr>
        <w:pStyle w:val="FootnoteText"/>
        <w:spacing w:before="60"/>
        <w:jc w:val="both"/>
      </w:pPr>
      <w:r>
        <w:rPr>
          <w:rStyle w:val="FootnoteReference"/>
        </w:rPr>
        <w:footnoteRef/>
      </w:r>
      <w:r>
        <w:t xml:space="preserve"> </w:t>
      </w:r>
      <w:r>
        <w:rPr>
          <w:sz w:val="20"/>
        </w:rPr>
        <w:t xml:space="preserve">Complaint from Marianne </w:t>
      </w:r>
      <w:proofErr w:type="spellStart"/>
      <w:r>
        <w:rPr>
          <w:sz w:val="20"/>
        </w:rPr>
        <w:t>Engelman</w:t>
      </w:r>
      <w:proofErr w:type="spellEnd"/>
      <w:r>
        <w:rPr>
          <w:sz w:val="20"/>
        </w:rPr>
        <w:t xml:space="preserve"> </w:t>
      </w:r>
      <w:proofErr w:type="spellStart"/>
      <w:r>
        <w:rPr>
          <w:sz w:val="20"/>
        </w:rPr>
        <w:t>Lado</w:t>
      </w:r>
      <w:proofErr w:type="spellEnd"/>
      <w:r>
        <w:rPr>
          <w:sz w:val="20"/>
        </w:rPr>
        <w:t xml:space="preserve"> and </w:t>
      </w:r>
      <w:proofErr w:type="spellStart"/>
      <w:r>
        <w:rPr>
          <w:sz w:val="20"/>
        </w:rPr>
        <w:t>Loceylyn</w:t>
      </w:r>
      <w:proofErr w:type="spellEnd"/>
      <w:r>
        <w:rPr>
          <w:sz w:val="20"/>
        </w:rPr>
        <w:t xml:space="preserve"> </w:t>
      </w:r>
      <w:proofErr w:type="spellStart"/>
      <w:r>
        <w:rPr>
          <w:sz w:val="20"/>
        </w:rPr>
        <w:t>D’Ambrosio</w:t>
      </w:r>
      <w:proofErr w:type="spellEnd"/>
      <w:r>
        <w:rPr>
          <w:sz w:val="20"/>
        </w:rPr>
        <w:t xml:space="preserve">, attorneys, </w:t>
      </w:r>
      <w:proofErr w:type="spellStart"/>
      <w:r>
        <w:rPr>
          <w:sz w:val="20"/>
        </w:rPr>
        <w:t>Earthjustice</w:t>
      </w:r>
      <w:proofErr w:type="spellEnd"/>
      <w:r>
        <w:rPr>
          <w:sz w:val="20"/>
        </w:rPr>
        <w:t xml:space="preserve">, to Gina McCarthy, Administrator, EPA, and </w:t>
      </w:r>
      <w:proofErr w:type="spellStart"/>
      <w:r>
        <w:rPr>
          <w:sz w:val="20"/>
        </w:rPr>
        <w:t>Velveta</w:t>
      </w:r>
      <w:proofErr w:type="spellEnd"/>
      <w:r>
        <w:rPr>
          <w:sz w:val="20"/>
        </w:rPr>
        <w:t xml:space="preserve"> </w:t>
      </w:r>
      <w:proofErr w:type="spellStart"/>
      <w:r>
        <w:rPr>
          <w:sz w:val="20"/>
        </w:rPr>
        <w:t>Golightly</w:t>
      </w:r>
      <w:proofErr w:type="spellEnd"/>
      <w:r>
        <w:rPr>
          <w:sz w:val="20"/>
        </w:rPr>
        <w:t xml:space="preserve">-Howell, Director, Office of Civil Rights, EPA (Sep. 3, 2014), </w:t>
      </w:r>
      <w:r w:rsidRPr="008A2E45">
        <w:rPr>
          <w:sz w:val="20"/>
        </w:rPr>
        <w:t>http://earthjustice.org/sites/default/files/files/North-Carolina-EJ-Network-et-al-Complaint-under-Title-VI.pdf</w:t>
      </w:r>
      <w:r>
        <w:rPr>
          <w:sz w:val="20"/>
        </w:rPr>
        <w:t xml:space="preserve">. </w:t>
      </w:r>
    </w:p>
  </w:footnote>
  <w:footnote w:id="200">
    <w:p w14:paraId="3BDB0FC1" w14:textId="1884C029" w:rsidR="0084636B" w:rsidRPr="005B6B9A" w:rsidRDefault="0084636B" w:rsidP="00DC37FE">
      <w:pPr>
        <w:pStyle w:val="FootnoteText"/>
        <w:spacing w:before="60"/>
        <w:jc w:val="both"/>
        <w:rPr>
          <w:sz w:val="20"/>
        </w:rPr>
      </w:pPr>
      <w:r>
        <w:rPr>
          <w:rStyle w:val="FootnoteReference"/>
        </w:rPr>
        <w:footnoteRef/>
      </w:r>
      <w:r>
        <w:t xml:space="preserve"> </w:t>
      </w:r>
      <w:r>
        <w:rPr>
          <w:i/>
          <w:sz w:val="20"/>
        </w:rPr>
        <w:t xml:space="preserve">Id. </w:t>
      </w:r>
      <w:r>
        <w:rPr>
          <w:sz w:val="20"/>
        </w:rPr>
        <w:t xml:space="preserve">(discussing </w:t>
      </w:r>
      <w:r w:rsidRPr="005B6B9A">
        <w:rPr>
          <w:sz w:val="20"/>
        </w:rPr>
        <w:t>Title VI, 42 U.S.C. § 2000d</w:t>
      </w:r>
      <w:r>
        <w:rPr>
          <w:sz w:val="20"/>
        </w:rPr>
        <w:t xml:space="preserve"> (2016), which prohibits states from discriminating based on race, color, or national origin with regard to state programs that receive federal tax dollars).</w:t>
      </w:r>
    </w:p>
  </w:footnote>
  <w:footnote w:id="201">
    <w:p w14:paraId="5F0D7C37" w14:textId="1232F773" w:rsidR="0084636B" w:rsidRDefault="0084636B" w:rsidP="00DC37FE">
      <w:pPr>
        <w:pStyle w:val="FootnoteText"/>
        <w:spacing w:before="60"/>
      </w:pPr>
      <w:r>
        <w:rPr>
          <w:rStyle w:val="FootnoteReference"/>
        </w:rPr>
        <w:footnoteRef/>
      </w:r>
      <w:r>
        <w:t xml:space="preserve"> </w:t>
      </w:r>
      <w:r w:rsidRPr="00A4226C">
        <w:rPr>
          <w:sz w:val="20"/>
        </w:rPr>
        <w:t xml:space="preserve">40 C.F.R. </w:t>
      </w:r>
      <w:proofErr w:type="gramStart"/>
      <w:r w:rsidRPr="00A4226C">
        <w:rPr>
          <w:sz w:val="20"/>
        </w:rPr>
        <w:t>Part</w:t>
      </w:r>
      <w:proofErr w:type="gramEnd"/>
      <w:r w:rsidRPr="00A4226C">
        <w:rPr>
          <w:sz w:val="20"/>
        </w:rPr>
        <w:t xml:space="preserve"> 7 (2016).</w:t>
      </w:r>
    </w:p>
  </w:footnote>
  <w:footnote w:id="202">
    <w:p w14:paraId="25056FFA" w14:textId="6E25830B" w:rsidR="0084636B" w:rsidRDefault="0084636B" w:rsidP="00DC37FE">
      <w:pPr>
        <w:pStyle w:val="FootnoteText"/>
        <w:spacing w:before="60"/>
      </w:pPr>
      <w:r>
        <w:rPr>
          <w:rStyle w:val="FootnoteReference"/>
        </w:rPr>
        <w:footnoteRef/>
      </w:r>
      <w:r>
        <w:t xml:space="preserve"> </w:t>
      </w:r>
      <w:r w:rsidRPr="007E7D48">
        <w:rPr>
          <w:i/>
          <w:sz w:val="20"/>
        </w:rPr>
        <w:t>Id.</w:t>
      </w:r>
    </w:p>
  </w:footnote>
  <w:footnote w:id="203">
    <w:p w14:paraId="41A7E5EB" w14:textId="57A66F38" w:rsidR="0084636B" w:rsidRPr="00A4226C" w:rsidRDefault="0084636B" w:rsidP="00DC37FE">
      <w:pPr>
        <w:pStyle w:val="FootnoteText"/>
        <w:spacing w:before="60"/>
        <w:jc w:val="both"/>
      </w:pPr>
      <w:r>
        <w:rPr>
          <w:rStyle w:val="FootnoteReference"/>
        </w:rPr>
        <w:footnoteRef/>
      </w:r>
      <w:r>
        <w:t xml:space="preserve"> </w:t>
      </w:r>
      <w:r w:rsidRPr="007E7D48">
        <w:rPr>
          <w:i/>
          <w:sz w:val="20"/>
        </w:rPr>
        <w:t xml:space="preserve">Id. </w:t>
      </w:r>
      <w:r>
        <w:rPr>
          <w:sz w:val="20"/>
        </w:rPr>
        <w:t>(citing Complaint).</w:t>
      </w:r>
    </w:p>
  </w:footnote>
  <w:footnote w:id="204">
    <w:p w14:paraId="2AE91942" w14:textId="1B6F5ABF" w:rsidR="0084636B" w:rsidRPr="00B57F5C" w:rsidRDefault="0084636B" w:rsidP="001A6CA1">
      <w:pPr>
        <w:pStyle w:val="FootnoteText"/>
        <w:spacing w:before="60"/>
        <w:jc w:val="both"/>
        <w:rPr>
          <w:sz w:val="20"/>
        </w:rPr>
      </w:pPr>
      <w:r>
        <w:rPr>
          <w:rStyle w:val="FootnoteReference"/>
        </w:rPr>
        <w:footnoteRef/>
      </w:r>
      <w:r>
        <w:t xml:space="preserve"> </w:t>
      </w:r>
      <w:proofErr w:type="spellStart"/>
      <w:r>
        <w:rPr>
          <w:sz w:val="20"/>
        </w:rPr>
        <w:t>Sorg</w:t>
      </w:r>
      <w:proofErr w:type="spellEnd"/>
      <w:r>
        <w:rPr>
          <w:sz w:val="20"/>
        </w:rPr>
        <w:t xml:space="preserve">, </w:t>
      </w:r>
      <w:r>
        <w:rPr>
          <w:i/>
          <w:sz w:val="20"/>
        </w:rPr>
        <w:t xml:space="preserve">supra </w:t>
      </w:r>
      <w:r>
        <w:rPr>
          <w:sz w:val="20"/>
        </w:rPr>
        <w:t>note 193.</w:t>
      </w:r>
    </w:p>
  </w:footnote>
  <w:footnote w:id="205">
    <w:p w14:paraId="08DC4706" w14:textId="5AAC2D09" w:rsidR="0084636B" w:rsidRPr="004D45F9" w:rsidRDefault="0084636B" w:rsidP="001A6CA1">
      <w:pPr>
        <w:pStyle w:val="FootnoteText"/>
        <w:spacing w:before="60"/>
        <w:jc w:val="both"/>
        <w:rPr>
          <w:i/>
        </w:rPr>
      </w:pPr>
      <w:r>
        <w:rPr>
          <w:rStyle w:val="FootnoteReference"/>
        </w:rPr>
        <w:footnoteRef/>
      </w:r>
      <w:r>
        <w:t xml:space="preserve"> </w:t>
      </w:r>
      <w:r w:rsidRPr="00CA0C64">
        <w:rPr>
          <w:i/>
          <w:sz w:val="20"/>
        </w:rPr>
        <w:t xml:space="preserve">Id. </w:t>
      </w:r>
    </w:p>
  </w:footnote>
  <w:footnote w:id="206">
    <w:p w14:paraId="591524A4" w14:textId="07FB59D0" w:rsidR="0084636B" w:rsidRPr="00CA0C64" w:rsidRDefault="0084636B" w:rsidP="001A6CA1">
      <w:pPr>
        <w:pStyle w:val="FootnoteText"/>
        <w:spacing w:before="60"/>
        <w:jc w:val="both"/>
      </w:pPr>
      <w:r>
        <w:rPr>
          <w:rStyle w:val="FootnoteReference"/>
        </w:rPr>
        <w:footnoteRef/>
      </w:r>
      <w:r>
        <w:t xml:space="preserve"> </w:t>
      </w:r>
      <w:r w:rsidRPr="00CA0C64">
        <w:rPr>
          <w:sz w:val="20"/>
        </w:rPr>
        <w:t xml:space="preserve">Steve Holt, </w:t>
      </w:r>
      <w:r w:rsidRPr="00CA0C64">
        <w:rPr>
          <w:bCs/>
          <w:i/>
          <w:sz w:val="20"/>
        </w:rPr>
        <w:t>Is Rural North Carolina the Next Flint? Groups Say People of Color There Bear the Brunt of Hog Farm Pollution</w:t>
      </w:r>
      <w:r w:rsidRPr="00CA0C64">
        <w:rPr>
          <w:bCs/>
          <w:sz w:val="20"/>
        </w:rPr>
        <w:t xml:space="preserve">, </w:t>
      </w:r>
      <w:r w:rsidRPr="00CA0C64">
        <w:rPr>
          <w:smallCaps/>
          <w:sz w:val="20"/>
          <w:szCs w:val="20"/>
        </w:rPr>
        <w:t>Civil Eats</w:t>
      </w:r>
      <w:r w:rsidRPr="00CA0C64">
        <w:rPr>
          <w:bCs/>
          <w:sz w:val="20"/>
        </w:rPr>
        <w:t xml:space="preserve"> (Mar. 23, 2016)</w:t>
      </w:r>
      <w:r>
        <w:rPr>
          <w:bCs/>
          <w:sz w:val="20"/>
        </w:rPr>
        <w:t xml:space="preserve">, </w:t>
      </w:r>
      <w:r w:rsidRPr="00A126D8">
        <w:rPr>
          <w:bCs/>
          <w:sz w:val="20"/>
        </w:rPr>
        <w:t>http://civileats.com/2016/03/23/is-north-carolina-the-next-flint-groups-say-the-hog-industry-disproportionate-impacts-on-people-of-color-in-the-state/</w:t>
      </w:r>
      <w:r>
        <w:rPr>
          <w:bCs/>
          <w:sz w:val="20"/>
        </w:rPr>
        <w:t xml:space="preserve"> </w:t>
      </w:r>
      <w:r w:rsidRPr="00C24768">
        <w:rPr>
          <w:sz w:val="20"/>
          <w:szCs w:val="20"/>
        </w:rPr>
        <w:t>(“They sent it to EPA saying that they wanted to be involved in the mediation, which was a surprise to us because we had been instructed by EPA that the very fact that we were in settlement negotiations should remain confidential. This is a community that has suffered a lot of retaliation and intimidation from the pork industry.”) (</w:t>
      </w:r>
      <w:proofErr w:type="gramStart"/>
      <w:r w:rsidRPr="00C24768">
        <w:rPr>
          <w:bCs/>
          <w:sz w:val="20"/>
          <w:szCs w:val="20"/>
        </w:rPr>
        <w:t>quoting</w:t>
      </w:r>
      <w:proofErr w:type="gramEnd"/>
      <w:r w:rsidRPr="00C24768">
        <w:rPr>
          <w:bCs/>
          <w:sz w:val="20"/>
          <w:szCs w:val="20"/>
        </w:rPr>
        <w:t xml:space="preserve"> Elizabeth </w:t>
      </w:r>
      <w:proofErr w:type="spellStart"/>
      <w:r w:rsidRPr="00C24768">
        <w:rPr>
          <w:bCs/>
          <w:sz w:val="20"/>
          <w:szCs w:val="20"/>
        </w:rPr>
        <w:t>Haddix</w:t>
      </w:r>
      <w:proofErr w:type="spellEnd"/>
      <w:r w:rsidRPr="00C24768">
        <w:rPr>
          <w:bCs/>
          <w:sz w:val="20"/>
          <w:szCs w:val="20"/>
        </w:rPr>
        <w:t>, attorney at the University of North Carolina Center for Civil Rights).</w:t>
      </w:r>
    </w:p>
  </w:footnote>
  <w:footnote w:id="207">
    <w:p w14:paraId="7AB92552" w14:textId="4AB9BDEA" w:rsidR="0084636B" w:rsidRPr="00C24768" w:rsidRDefault="0084636B" w:rsidP="001A6CA1">
      <w:pPr>
        <w:pStyle w:val="FootnoteText"/>
        <w:spacing w:before="60"/>
        <w:jc w:val="both"/>
      </w:pPr>
      <w:r>
        <w:rPr>
          <w:rStyle w:val="FootnoteReference"/>
        </w:rPr>
        <w:footnoteRef/>
      </w:r>
      <w:r w:rsidRPr="00C24768">
        <w:rPr>
          <w:sz w:val="20"/>
          <w:szCs w:val="20"/>
        </w:rPr>
        <w:t xml:space="preserve"> </w:t>
      </w:r>
      <w:r w:rsidRPr="00C24768">
        <w:rPr>
          <w:i/>
          <w:sz w:val="20"/>
          <w:szCs w:val="20"/>
        </w:rPr>
        <w:t xml:space="preserve">Id. </w:t>
      </w:r>
    </w:p>
  </w:footnote>
  <w:footnote w:id="208">
    <w:p w14:paraId="14E27B12" w14:textId="576CC34A" w:rsidR="0084636B" w:rsidRPr="007469A1" w:rsidRDefault="0084636B" w:rsidP="001A6CA1">
      <w:pPr>
        <w:pStyle w:val="FootnoteText"/>
        <w:spacing w:before="60"/>
        <w:jc w:val="both"/>
        <w:rPr>
          <w:i/>
        </w:rPr>
      </w:pPr>
      <w:r>
        <w:rPr>
          <w:rStyle w:val="FootnoteReference"/>
        </w:rPr>
        <w:footnoteRef/>
      </w:r>
      <w:r>
        <w:t xml:space="preserve"> </w:t>
      </w:r>
      <w:r w:rsidRPr="007469A1">
        <w:rPr>
          <w:i/>
          <w:sz w:val="20"/>
        </w:rPr>
        <w:t xml:space="preserve">Id. </w:t>
      </w:r>
    </w:p>
  </w:footnote>
  <w:footnote w:id="209">
    <w:p w14:paraId="4031F4BB" w14:textId="0FE1D34E" w:rsidR="0084636B" w:rsidRPr="00B852FF" w:rsidRDefault="0084636B" w:rsidP="00B852FF">
      <w:pPr>
        <w:pStyle w:val="FootnoteText"/>
        <w:spacing w:before="60"/>
        <w:jc w:val="both"/>
      </w:pPr>
      <w:r>
        <w:rPr>
          <w:rStyle w:val="FootnoteReference"/>
        </w:rPr>
        <w:footnoteRef/>
      </w:r>
      <w:r>
        <w:t xml:space="preserve"> </w:t>
      </w:r>
      <w:r>
        <w:rPr>
          <w:sz w:val="20"/>
        </w:rPr>
        <w:t xml:space="preserve">Lisa </w:t>
      </w:r>
      <w:proofErr w:type="spellStart"/>
      <w:r>
        <w:rPr>
          <w:sz w:val="20"/>
        </w:rPr>
        <w:t>Sorg</w:t>
      </w:r>
      <w:proofErr w:type="spellEnd"/>
      <w:r>
        <w:rPr>
          <w:sz w:val="20"/>
        </w:rPr>
        <w:t xml:space="preserve">, </w:t>
      </w:r>
      <w:r>
        <w:rPr>
          <w:i/>
          <w:sz w:val="20"/>
        </w:rPr>
        <w:t>EPA Office of Civil Rights Investigating Intimidation Claims Against DEQ</w:t>
      </w:r>
      <w:r>
        <w:rPr>
          <w:sz w:val="20"/>
        </w:rPr>
        <w:t xml:space="preserve">, NC Policy Watch (Sep. 21, 2016), </w:t>
      </w:r>
      <w:r w:rsidRPr="00B852FF">
        <w:rPr>
          <w:sz w:val="20"/>
        </w:rPr>
        <w:t>http://www.ncpolicywatch.com/2016/09/21/epa-office-of-civil-rights-investigating-intimidation-claims-against-deq-national-producers/</w:t>
      </w:r>
      <w:r>
        <w:rPr>
          <w:sz w:val="20"/>
        </w:rPr>
        <w:t>.</w:t>
      </w:r>
    </w:p>
  </w:footnote>
  <w:footnote w:id="210">
    <w:p w14:paraId="39E83B5F" w14:textId="402ECA5A" w:rsidR="0084636B" w:rsidRDefault="0084636B" w:rsidP="006C73AB">
      <w:pPr>
        <w:pStyle w:val="FootnoteText"/>
        <w:spacing w:before="60"/>
        <w:jc w:val="both"/>
      </w:pPr>
      <w:r>
        <w:rPr>
          <w:rStyle w:val="FootnoteReference"/>
        </w:rPr>
        <w:footnoteRef/>
      </w:r>
      <w:r>
        <w:t xml:space="preserve"> </w:t>
      </w:r>
      <w:r w:rsidRPr="00C93775">
        <w:rPr>
          <w:i/>
          <w:sz w:val="20"/>
        </w:rPr>
        <w:t xml:space="preserve">Id. </w:t>
      </w:r>
      <w:r w:rsidRPr="00C93775">
        <w:rPr>
          <w:sz w:val="20"/>
        </w:rPr>
        <w:t>“‘[</w:t>
      </w:r>
      <w:proofErr w:type="gramStart"/>
      <w:r w:rsidRPr="00C93775">
        <w:rPr>
          <w:sz w:val="20"/>
        </w:rPr>
        <w:t>T]his</w:t>
      </w:r>
      <w:proofErr w:type="gramEnd"/>
      <w:r w:rsidRPr="00C93775">
        <w:rPr>
          <w:sz w:val="20"/>
        </w:rPr>
        <w:t xml:space="preserve"> didn’t make me feel good to know that they were there. They could have been writing down all of our [license] tag numbers. I felt exposed and that other community representatives were exposed.’”) (</w:t>
      </w:r>
      <w:proofErr w:type="gramStart"/>
      <w:r w:rsidRPr="00C93775">
        <w:rPr>
          <w:sz w:val="20"/>
        </w:rPr>
        <w:t>quoting</w:t>
      </w:r>
      <w:proofErr w:type="gramEnd"/>
      <w:r w:rsidRPr="00C93775">
        <w:rPr>
          <w:sz w:val="20"/>
        </w:rPr>
        <w:t xml:space="preserve"> </w:t>
      </w:r>
      <w:proofErr w:type="spellStart"/>
      <w:r w:rsidRPr="00C93775">
        <w:rPr>
          <w:sz w:val="20"/>
        </w:rPr>
        <w:t>Naeema</w:t>
      </w:r>
      <w:proofErr w:type="spellEnd"/>
      <w:r w:rsidRPr="00C93775">
        <w:rPr>
          <w:sz w:val="20"/>
        </w:rPr>
        <w:t xml:space="preserve"> Muhammad, acting director of NCEJN).</w:t>
      </w:r>
    </w:p>
  </w:footnote>
  <w:footnote w:id="211">
    <w:p w14:paraId="68ADDBAB" w14:textId="0597B1C8" w:rsidR="0084636B" w:rsidRPr="00B852FF" w:rsidRDefault="0084636B" w:rsidP="006C73AB">
      <w:pPr>
        <w:pStyle w:val="FootnoteText"/>
        <w:spacing w:before="60"/>
        <w:jc w:val="both"/>
      </w:pPr>
      <w:r>
        <w:rPr>
          <w:rStyle w:val="FootnoteReference"/>
        </w:rPr>
        <w:footnoteRef/>
      </w:r>
      <w:r>
        <w:t xml:space="preserve"> </w:t>
      </w:r>
      <w:proofErr w:type="spellStart"/>
      <w:r>
        <w:rPr>
          <w:sz w:val="20"/>
        </w:rPr>
        <w:t>Sorga</w:t>
      </w:r>
      <w:proofErr w:type="spellEnd"/>
      <w:r>
        <w:rPr>
          <w:sz w:val="20"/>
        </w:rPr>
        <w:t xml:space="preserve">, </w:t>
      </w:r>
      <w:r>
        <w:rPr>
          <w:i/>
          <w:sz w:val="20"/>
        </w:rPr>
        <w:t xml:space="preserve">supra </w:t>
      </w:r>
      <w:r>
        <w:rPr>
          <w:sz w:val="20"/>
        </w:rPr>
        <w:t xml:space="preserve">note 193. </w:t>
      </w:r>
    </w:p>
  </w:footnote>
  <w:footnote w:id="212">
    <w:p w14:paraId="73015856" w14:textId="1D7A4CB6" w:rsidR="0084636B" w:rsidRPr="00210A21" w:rsidRDefault="0084636B" w:rsidP="006C73AB">
      <w:pPr>
        <w:pStyle w:val="FootnoteText"/>
        <w:spacing w:before="60"/>
        <w:jc w:val="both"/>
        <w:rPr>
          <w:i/>
        </w:rPr>
      </w:pPr>
      <w:r>
        <w:rPr>
          <w:rStyle w:val="FootnoteReference"/>
        </w:rPr>
        <w:footnoteRef/>
      </w:r>
      <w:r>
        <w:t xml:space="preserve"> </w:t>
      </w:r>
      <w:r w:rsidRPr="001A6CA1">
        <w:rPr>
          <w:i/>
          <w:sz w:val="20"/>
          <w:szCs w:val="20"/>
        </w:rPr>
        <w:t>Id.</w:t>
      </w:r>
      <w:r>
        <w:rPr>
          <w:i/>
        </w:rPr>
        <w:t xml:space="preserve"> </w:t>
      </w:r>
    </w:p>
  </w:footnote>
  <w:footnote w:id="213">
    <w:p w14:paraId="172DB450" w14:textId="002F36B4" w:rsidR="0084636B" w:rsidRDefault="0084636B" w:rsidP="006C73AB">
      <w:pPr>
        <w:pStyle w:val="FootnoteText"/>
        <w:spacing w:before="60"/>
        <w:jc w:val="both"/>
      </w:pPr>
      <w:r>
        <w:rPr>
          <w:rStyle w:val="FootnoteReference"/>
        </w:rPr>
        <w:footnoteRef/>
      </w:r>
      <w:r>
        <w:t xml:space="preserve"> </w:t>
      </w:r>
      <w:r>
        <w:rPr>
          <w:sz w:val="20"/>
        </w:rPr>
        <w:t xml:space="preserve">Complaint from Marianne </w:t>
      </w:r>
      <w:proofErr w:type="spellStart"/>
      <w:r>
        <w:rPr>
          <w:sz w:val="20"/>
        </w:rPr>
        <w:t>Engelman</w:t>
      </w:r>
      <w:proofErr w:type="spellEnd"/>
      <w:r>
        <w:rPr>
          <w:sz w:val="20"/>
        </w:rPr>
        <w:t xml:space="preserve"> </w:t>
      </w:r>
      <w:proofErr w:type="spellStart"/>
      <w:r>
        <w:rPr>
          <w:sz w:val="20"/>
        </w:rPr>
        <w:t>Lado</w:t>
      </w:r>
      <w:proofErr w:type="spellEnd"/>
      <w:r>
        <w:rPr>
          <w:sz w:val="20"/>
        </w:rPr>
        <w:t xml:space="preserve">, Senior Staff Attorney, and Alexis </w:t>
      </w:r>
      <w:proofErr w:type="spellStart"/>
      <w:r>
        <w:rPr>
          <w:sz w:val="20"/>
        </w:rPr>
        <w:t>Andiman</w:t>
      </w:r>
      <w:proofErr w:type="spellEnd"/>
      <w:r>
        <w:rPr>
          <w:sz w:val="20"/>
        </w:rPr>
        <w:t xml:space="preserve">, Associate Attorney, </w:t>
      </w:r>
      <w:proofErr w:type="spellStart"/>
      <w:r>
        <w:rPr>
          <w:sz w:val="20"/>
        </w:rPr>
        <w:t>Earthjustice</w:t>
      </w:r>
      <w:proofErr w:type="spellEnd"/>
      <w:r>
        <w:rPr>
          <w:sz w:val="20"/>
        </w:rPr>
        <w:t xml:space="preserve">, to </w:t>
      </w:r>
      <w:proofErr w:type="spellStart"/>
      <w:r>
        <w:rPr>
          <w:sz w:val="20"/>
        </w:rPr>
        <w:t>Lilian</w:t>
      </w:r>
      <w:proofErr w:type="spellEnd"/>
      <w:r>
        <w:rPr>
          <w:sz w:val="20"/>
        </w:rPr>
        <w:t xml:space="preserve"> </w:t>
      </w:r>
      <w:proofErr w:type="spellStart"/>
      <w:r>
        <w:rPr>
          <w:sz w:val="20"/>
        </w:rPr>
        <w:t>Dorka</w:t>
      </w:r>
      <w:proofErr w:type="spellEnd"/>
      <w:r>
        <w:rPr>
          <w:sz w:val="20"/>
        </w:rPr>
        <w:t xml:space="preserve">, Deputy Director, Acting Assistant Director, Office of Civil Rights, EPA (Jul. 11, 2016), </w:t>
      </w:r>
      <w:r w:rsidRPr="001A6CA1">
        <w:rPr>
          <w:sz w:val="20"/>
        </w:rPr>
        <w:t>http://www.ncpolicywatch.com/wp-content/uploads/2016/09/July-11-2016-Letter-from-enviros-to-EPA-OCR.pdf</w:t>
      </w:r>
      <w:r>
        <w:rPr>
          <w:sz w:val="20"/>
        </w:rPr>
        <w:t>.</w:t>
      </w:r>
    </w:p>
  </w:footnote>
  <w:footnote w:id="214">
    <w:p w14:paraId="6A9AA68E" w14:textId="69D46478" w:rsidR="0084636B" w:rsidRPr="002D250B" w:rsidRDefault="0084636B" w:rsidP="006C73AB">
      <w:pPr>
        <w:pStyle w:val="FootnoteText"/>
        <w:spacing w:before="60"/>
        <w:jc w:val="both"/>
      </w:pPr>
      <w:r>
        <w:rPr>
          <w:rStyle w:val="FootnoteReference"/>
        </w:rPr>
        <w:footnoteRef/>
      </w:r>
      <w:r>
        <w:t xml:space="preserve"> </w:t>
      </w:r>
      <w:proofErr w:type="gramStart"/>
      <w:r w:rsidRPr="002D250B">
        <w:rPr>
          <w:i/>
          <w:sz w:val="20"/>
        </w:rPr>
        <w:t xml:space="preserve">Id. </w:t>
      </w:r>
      <w:r w:rsidRPr="002D250B">
        <w:rPr>
          <w:sz w:val="20"/>
        </w:rPr>
        <w:t>at 1.</w:t>
      </w:r>
      <w:proofErr w:type="gramEnd"/>
      <w:r w:rsidRPr="002D250B">
        <w:rPr>
          <w:sz w:val="20"/>
        </w:rPr>
        <w:t xml:space="preserve"> </w:t>
      </w:r>
    </w:p>
  </w:footnote>
  <w:footnote w:id="215">
    <w:p w14:paraId="288DDDF9" w14:textId="49C598E6" w:rsidR="0084636B" w:rsidRPr="00F3085D" w:rsidRDefault="0084636B" w:rsidP="006C73AB">
      <w:pPr>
        <w:pStyle w:val="FootnoteText"/>
        <w:spacing w:before="60"/>
        <w:jc w:val="both"/>
        <w:rPr>
          <w:sz w:val="20"/>
        </w:rPr>
      </w:pPr>
      <w:r>
        <w:rPr>
          <w:rStyle w:val="FootnoteReference"/>
        </w:rPr>
        <w:footnoteRef/>
      </w:r>
      <w:r>
        <w:t xml:space="preserve"> </w:t>
      </w:r>
      <w:proofErr w:type="gramStart"/>
      <w:r>
        <w:rPr>
          <w:i/>
          <w:sz w:val="20"/>
        </w:rPr>
        <w:t xml:space="preserve">Id. </w:t>
      </w:r>
      <w:r>
        <w:rPr>
          <w:sz w:val="20"/>
        </w:rPr>
        <w:t>at 9.</w:t>
      </w:r>
      <w:proofErr w:type="gramEnd"/>
      <w:r>
        <w:rPr>
          <w:sz w:val="20"/>
        </w:rPr>
        <w:t xml:space="preserve"> One such story is that of Violet Branch, who has lived on her land in Duplin County since 1943. She lives with two miles of ten hog facilities. A state agency told her to stop drinking water from her well. Shortly after, a CAFO operator came to her home “‘with their industry spokesperson’” and insinuated she was “‘out to get’” the operator. She stated that she believed they were attempting to intimidate her. The industry spokesperson asked her if she had ever considered moving.  </w:t>
      </w:r>
      <w:r>
        <w:rPr>
          <w:i/>
          <w:sz w:val="20"/>
        </w:rPr>
        <w:t xml:space="preserve">Id. </w:t>
      </w:r>
      <w:r>
        <w:rPr>
          <w:sz w:val="20"/>
        </w:rPr>
        <w:t xml:space="preserve">(quoting Ms. Branch). </w:t>
      </w:r>
      <w:r>
        <w:rPr>
          <w:i/>
          <w:sz w:val="20"/>
        </w:rPr>
        <w:t xml:space="preserve">See </w:t>
      </w:r>
      <w:proofErr w:type="gramStart"/>
      <w:r>
        <w:rPr>
          <w:sz w:val="20"/>
        </w:rPr>
        <w:t>Sturgis,</w:t>
      </w:r>
      <w:proofErr w:type="gramEnd"/>
      <w:r>
        <w:rPr>
          <w:i/>
          <w:sz w:val="20"/>
        </w:rPr>
        <w:t xml:space="preserve"> supra </w:t>
      </w:r>
      <w:r>
        <w:rPr>
          <w:sz w:val="20"/>
        </w:rPr>
        <w:t xml:space="preserve">note 196 (describing another incident of intimidation against an elderly African American woman). </w:t>
      </w:r>
    </w:p>
  </w:footnote>
  <w:footnote w:id="216">
    <w:p w14:paraId="120E9FBF" w14:textId="41A78A97" w:rsidR="0084636B" w:rsidRPr="00F3085D" w:rsidRDefault="0084636B" w:rsidP="006C73AB">
      <w:pPr>
        <w:pStyle w:val="FootnoteText"/>
        <w:spacing w:before="60"/>
        <w:jc w:val="both"/>
        <w:rPr>
          <w:i/>
        </w:rPr>
      </w:pPr>
      <w:r>
        <w:rPr>
          <w:rStyle w:val="FootnoteReference"/>
        </w:rPr>
        <w:footnoteRef/>
      </w:r>
      <w:r>
        <w:t xml:space="preserve"> </w:t>
      </w:r>
      <w:proofErr w:type="spellStart"/>
      <w:r w:rsidRPr="00A17DFE">
        <w:rPr>
          <w:sz w:val="20"/>
        </w:rPr>
        <w:t>Sorg</w:t>
      </w:r>
      <w:proofErr w:type="spellEnd"/>
      <w:r w:rsidRPr="00A17DFE">
        <w:rPr>
          <w:sz w:val="20"/>
        </w:rPr>
        <w:t xml:space="preserve">, </w:t>
      </w:r>
      <w:r w:rsidRPr="00A17DFE">
        <w:rPr>
          <w:i/>
          <w:sz w:val="20"/>
        </w:rPr>
        <w:t xml:space="preserve">supra </w:t>
      </w:r>
      <w:r>
        <w:rPr>
          <w:sz w:val="20"/>
        </w:rPr>
        <w:t>note 193</w:t>
      </w:r>
      <w:r w:rsidRPr="00A17DFE">
        <w:rPr>
          <w:sz w:val="20"/>
        </w:rPr>
        <w:t>.</w:t>
      </w:r>
    </w:p>
  </w:footnote>
  <w:footnote w:id="217">
    <w:p w14:paraId="629F11E5" w14:textId="69A8DEB9" w:rsidR="0084636B" w:rsidRPr="00F3085D" w:rsidRDefault="0084636B" w:rsidP="006C73AB">
      <w:pPr>
        <w:pStyle w:val="FootnoteText"/>
        <w:spacing w:before="60"/>
        <w:jc w:val="both"/>
        <w:rPr>
          <w:i/>
        </w:rPr>
      </w:pPr>
      <w:r>
        <w:rPr>
          <w:rStyle w:val="FootnoteReference"/>
        </w:rPr>
        <w:footnoteRef/>
      </w:r>
      <w:r>
        <w:t xml:space="preserve"> </w:t>
      </w:r>
      <w:r w:rsidRPr="007130C6">
        <w:rPr>
          <w:i/>
          <w:sz w:val="20"/>
          <w:szCs w:val="20"/>
        </w:rPr>
        <w:t>Id.</w:t>
      </w:r>
      <w:r>
        <w:rPr>
          <w:i/>
        </w:rPr>
        <w:t xml:space="preserve"> </w:t>
      </w:r>
    </w:p>
  </w:footnote>
  <w:footnote w:id="218">
    <w:p w14:paraId="780CE4E7" w14:textId="6B87A68E" w:rsidR="0084636B" w:rsidRPr="006C73AB" w:rsidRDefault="0084636B" w:rsidP="006C73AB">
      <w:pPr>
        <w:pStyle w:val="FootnoteText"/>
        <w:spacing w:before="60"/>
        <w:rPr>
          <w:i/>
        </w:rPr>
      </w:pPr>
      <w:r>
        <w:rPr>
          <w:rStyle w:val="FootnoteReference"/>
        </w:rPr>
        <w:footnoteRef/>
      </w:r>
      <w:r>
        <w:t xml:space="preserve"> </w:t>
      </w:r>
      <w:r w:rsidRPr="006C73AB">
        <w:rPr>
          <w:i/>
          <w:sz w:val="20"/>
          <w:szCs w:val="20"/>
        </w:rPr>
        <w:t>Id.</w:t>
      </w:r>
      <w:r>
        <w:rPr>
          <w:i/>
        </w:rPr>
        <w:t xml:space="preserve"> </w:t>
      </w:r>
    </w:p>
  </w:footnote>
  <w:footnote w:id="219">
    <w:p w14:paraId="00605C32" w14:textId="5D602C72" w:rsidR="0084636B" w:rsidRPr="006C73AB" w:rsidRDefault="0084636B">
      <w:pPr>
        <w:pStyle w:val="FootnoteText"/>
        <w:rPr>
          <w:i/>
        </w:rPr>
      </w:pPr>
      <w:r>
        <w:rPr>
          <w:rStyle w:val="FootnoteReference"/>
        </w:rPr>
        <w:footnoteRef/>
      </w:r>
      <w:r>
        <w:t xml:space="preserve"> </w:t>
      </w:r>
      <w:r w:rsidRPr="006C73AB">
        <w:rPr>
          <w:i/>
          <w:sz w:val="20"/>
          <w:szCs w:val="20"/>
        </w:rPr>
        <w:t>Id.</w:t>
      </w:r>
    </w:p>
  </w:footnote>
  <w:footnote w:id="220">
    <w:p w14:paraId="390BCD8D" w14:textId="6E934A4C" w:rsidR="0084636B" w:rsidRPr="008B2818" w:rsidRDefault="0084636B" w:rsidP="00665B1A">
      <w:pPr>
        <w:pStyle w:val="FootnoteText"/>
        <w:spacing w:before="60"/>
        <w:jc w:val="both"/>
        <w:rPr>
          <w:i/>
        </w:rPr>
      </w:pPr>
      <w:r>
        <w:rPr>
          <w:rStyle w:val="FootnoteReference"/>
        </w:rPr>
        <w:footnoteRef/>
      </w:r>
      <w:r>
        <w:t xml:space="preserve"> </w:t>
      </w:r>
      <w:r w:rsidRPr="008B2818">
        <w:rPr>
          <w:i/>
          <w:sz w:val="20"/>
          <w:szCs w:val="20"/>
        </w:rPr>
        <w:t>Id.</w:t>
      </w:r>
      <w:r>
        <w:rPr>
          <w:i/>
        </w:rPr>
        <w:t xml:space="preserve"> </w:t>
      </w:r>
    </w:p>
  </w:footnote>
  <w:footnote w:id="221">
    <w:p w14:paraId="54B3CE6B" w14:textId="4D21F0F7" w:rsidR="0084636B" w:rsidRDefault="0084636B" w:rsidP="00665B1A">
      <w:pPr>
        <w:pStyle w:val="FootnoteText"/>
        <w:spacing w:before="60"/>
        <w:jc w:val="both"/>
      </w:pPr>
      <w:r>
        <w:rPr>
          <w:rStyle w:val="FootnoteReference"/>
        </w:rPr>
        <w:footnoteRef/>
      </w:r>
      <w:r>
        <w:t xml:space="preserve"> </w:t>
      </w:r>
      <w:r w:rsidRPr="00C8771C">
        <w:rPr>
          <w:sz w:val="20"/>
          <w:szCs w:val="20"/>
        </w:rPr>
        <w:t xml:space="preserve">Letter of Concern from </w:t>
      </w:r>
      <w:proofErr w:type="spellStart"/>
      <w:r w:rsidRPr="00C8771C">
        <w:rPr>
          <w:sz w:val="20"/>
          <w:szCs w:val="20"/>
        </w:rPr>
        <w:t>Lilian</w:t>
      </w:r>
      <w:proofErr w:type="spellEnd"/>
      <w:r w:rsidRPr="00C8771C">
        <w:rPr>
          <w:sz w:val="20"/>
          <w:szCs w:val="20"/>
        </w:rPr>
        <w:t xml:space="preserve"> </w:t>
      </w:r>
      <w:proofErr w:type="spellStart"/>
      <w:r w:rsidRPr="00C8771C">
        <w:rPr>
          <w:sz w:val="20"/>
          <w:szCs w:val="20"/>
        </w:rPr>
        <w:t>Dorka</w:t>
      </w:r>
      <w:proofErr w:type="spellEnd"/>
      <w:r w:rsidRPr="00C8771C">
        <w:rPr>
          <w:sz w:val="20"/>
          <w:szCs w:val="20"/>
        </w:rPr>
        <w:t xml:space="preserve">, Director, External Civil Rights Compliance Office, Office of General Counsel, EPA to Marianne </w:t>
      </w:r>
      <w:r>
        <w:rPr>
          <w:sz w:val="20"/>
          <w:szCs w:val="20"/>
        </w:rPr>
        <w:t xml:space="preserve">William G. Ross, Jr., Acting Secretary, North Carolina Department of Environmental Quality </w:t>
      </w:r>
      <w:r w:rsidRPr="00C8771C">
        <w:rPr>
          <w:sz w:val="20"/>
          <w:szCs w:val="20"/>
        </w:rPr>
        <w:t>(Jan. 12, 2017), https://assets.documentcloud.org/documents/3381929/NCDEQ-Letter-of-Concern-from-EPA.pdf.</w:t>
      </w:r>
    </w:p>
  </w:footnote>
  <w:footnote w:id="222">
    <w:p w14:paraId="121004C8" w14:textId="4BE96AAE" w:rsidR="0084636B" w:rsidRPr="00946A6B" w:rsidRDefault="0084636B" w:rsidP="00665B1A">
      <w:pPr>
        <w:pStyle w:val="FootnoteText"/>
        <w:spacing w:before="60"/>
        <w:jc w:val="both"/>
      </w:pPr>
      <w:r>
        <w:rPr>
          <w:rStyle w:val="FootnoteReference"/>
        </w:rPr>
        <w:footnoteRef/>
      </w:r>
      <w:r>
        <w:t xml:space="preserve"> </w:t>
      </w:r>
      <w:proofErr w:type="gramStart"/>
      <w:r w:rsidRPr="00665B1A">
        <w:rPr>
          <w:i/>
          <w:sz w:val="20"/>
          <w:szCs w:val="20"/>
        </w:rPr>
        <w:t xml:space="preserve">Id. </w:t>
      </w:r>
      <w:r w:rsidRPr="00665B1A">
        <w:rPr>
          <w:sz w:val="20"/>
          <w:szCs w:val="20"/>
        </w:rPr>
        <w:t>at 1.</w:t>
      </w:r>
      <w:proofErr w:type="gramEnd"/>
    </w:p>
  </w:footnote>
  <w:footnote w:id="223">
    <w:p w14:paraId="0CEEFFE8" w14:textId="7FDA8BDA" w:rsidR="0084636B" w:rsidRPr="00665B1A" w:rsidRDefault="0084636B" w:rsidP="00665B1A">
      <w:pPr>
        <w:pStyle w:val="FootnoteText"/>
        <w:spacing w:before="60"/>
        <w:jc w:val="both"/>
      </w:pPr>
      <w:r>
        <w:rPr>
          <w:rStyle w:val="FootnoteReference"/>
        </w:rPr>
        <w:footnoteRef/>
      </w:r>
      <w:r>
        <w:t xml:space="preserve"> </w:t>
      </w:r>
      <w:proofErr w:type="gramStart"/>
      <w:r w:rsidRPr="00665B1A">
        <w:rPr>
          <w:i/>
          <w:sz w:val="20"/>
          <w:szCs w:val="20"/>
        </w:rPr>
        <w:t xml:space="preserve">Id. </w:t>
      </w:r>
      <w:r w:rsidRPr="00665B1A">
        <w:rPr>
          <w:sz w:val="20"/>
          <w:szCs w:val="20"/>
        </w:rPr>
        <w:t>at 8.</w:t>
      </w:r>
      <w:proofErr w:type="gramEnd"/>
    </w:p>
  </w:footnote>
  <w:footnote w:id="224">
    <w:p w14:paraId="38BDC4C5" w14:textId="10071FBD" w:rsidR="0084636B" w:rsidRPr="00244DAE" w:rsidRDefault="0084636B" w:rsidP="00800E9E">
      <w:pPr>
        <w:pStyle w:val="FootnoteText"/>
        <w:spacing w:before="60"/>
        <w:jc w:val="both"/>
      </w:pPr>
      <w:r>
        <w:rPr>
          <w:rStyle w:val="FootnoteReference"/>
        </w:rPr>
        <w:footnoteRef/>
      </w:r>
      <w:r>
        <w:t xml:space="preserve"> </w:t>
      </w:r>
      <w:r w:rsidRPr="00272DED">
        <w:rPr>
          <w:i/>
          <w:sz w:val="20"/>
          <w:szCs w:val="20"/>
        </w:rPr>
        <w:t>Id.</w:t>
      </w:r>
      <w:r>
        <w:rPr>
          <w:i/>
          <w:sz w:val="20"/>
          <w:szCs w:val="20"/>
        </w:rPr>
        <w:t xml:space="preserve"> </w:t>
      </w:r>
      <w:r>
        <w:rPr>
          <w:sz w:val="20"/>
          <w:szCs w:val="20"/>
        </w:rPr>
        <w:t xml:space="preserve">(discussing Letter of Concern, </w:t>
      </w:r>
      <w:r>
        <w:rPr>
          <w:i/>
          <w:sz w:val="20"/>
          <w:szCs w:val="20"/>
        </w:rPr>
        <w:t xml:space="preserve">supra </w:t>
      </w:r>
      <w:r>
        <w:rPr>
          <w:sz w:val="20"/>
          <w:szCs w:val="20"/>
        </w:rPr>
        <w:t>note 221, at 11-12).</w:t>
      </w:r>
    </w:p>
  </w:footnote>
  <w:footnote w:id="225">
    <w:p w14:paraId="22F2890E" w14:textId="2BA506B2" w:rsidR="0084636B" w:rsidRPr="002E7581" w:rsidRDefault="0084636B" w:rsidP="00800E9E">
      <w:pPr>
        <w:pStyle w:val="FootnoteText"/>
        <w:spacing w:before="60"/>
        <w:jc w:val="both"/>
      </w:pPr>
      <w:r>
        <w:rPr>
          <w:rStyle w:val="FootnoteReference"/>
        </w:rPr>
        <w:footnoteRef/>
      </w:r>
      <w:r w:rsidRPr="000B3815">
        <w:rPr>
          <w:sz w:val="20"/>
          <w:szCs w:val="20"/>
        </w:rPr>
        <w:t xml:space="preserve"> </w:t>
      </w:r>
      <w:r w:rsidRPr="000B3815">
        <w:rPr>
          <w:i/>
          <w:sz w:val="20"/>
          <w:szCs w:val="20"/>
        </w:rPr>
        <w:t xml:space="preserve">Id. </w:t>
      </w:r>
      <w:r w:rsidRPr="000B3815">
        <w:rPr>
          <w:sz w:val="20"/>
          <w:szCs w:val="20"/>
        </w:rPr>
        <w:t>(</w:t>
      </w:r>
      <w:r>
        <w:rPr>
          <w:sz w:val="20"/>
          <w:szCs w:val="20"/>
        </w:rPr>
        <w:t>“[</w:t>
      </w:r>
      <w:proofErr w:type="gramStart"/>
      <w:r>
        <w:rPr>
          <w:sz w:val="20"/>
          <w:szCs w:val="20"/>
        </w:rPr>
        <w:t>I]</w:t>
      </w:r>
      <w:r w:rsidRPr="000B3815">
        <w:rPr>
          <w:sz w:val="20"/>
          <w:szCs w:val="20"/>
        </w:rPr>
        <w:t>t’s</w:t>
      </w:r>
      <w:proofErr w:type="gramEnd"/>
      <w:r w:rsidRPr="000B3815">
        <w:rPr>
          <w:sz w:val="20"/>
          <w:szCs w:val="20"/>
        </w:rPr>
        <w:t xml:space="preserve"> unlikely that the EPA’s Office of Civil Rights will find in favor of the environmental groups. As the Center for Public Integrity reported last year, that office has determined just </w:t>
      </w:r>
      <w:r>
        <w:rPr>
          <w:sz w:val="20"/>
          <w:szCs w:val="20"/>
        </w:rPr>
        <w:t>one finding of discrimination—from hundreds filed—</w:t>
      </w:r>
      <w:r w:rsidRPr="000B3815">
        <w:rPr>
          <w:sz w:val="20"/>
          <w:szCs w:val="20"/>
        </w:rPr>
        <w:t>in 22 years.”) (</w:t>
      </w:r>
      <w:proofErr w:type="gramStart"/>
      <w:r w:rsidRPr="000B3815">
        <w:rPr>
          <w:sz w:val="20"/>
          <w:szCs w:val="20"/>
        </w:rPr>
        <w:t>citing</w:t>
      </w:r>
      <w:proofErr w:type="gramEnd"/>
      <w:r w:rsidRPr="000B3815">
        <w:rPr>
          <w:sz w:val="20"/>
          <w:szCs w:val="20"/>
        </w:rPr>
        <w:t xml:space="preserve"> </w:t>
      </w:r>
      <w:r>
        <w:rPr>
          <w:i/>
          <w:sz w:val="20"/>
          <w:szCs w:val="20"/>
        </w:rPr>
        <w:t>Environmental Justice, Denied</w:t>
      </w:r>
      <w:r>
        <w:rPr>
          <w:sz w:val="20"/>
          <w:szCs w:val="20"/>
        </w:rPr>
        <w:t xml:space="preserve">, </w:t>
      </w:r>
      <w:r w:rsidRPr="002E7581">
        <w:rPr>
          <w:smallCaps/>
          <w:sz w:val="20"/>
          <w:szCs w:val="20"/>
        </w:rPr>
        <w:t>Center for Public Integrity</w:t>
      </w:r>
      <w:r>
        <w:rPr>
          <w:sz w:val="20"/>
          <w:szCs w:val="20"/>
        </w:rPr>
        <w:t xml:space="preserve">, </w:t>
      </w:r>
      <w:r w:rsidRPr="00800E9E">
        <w:rPr>
          <w:sz w:val="20"/>
          <w:szCs w:val="20"/>
        </w:rPr>
        <w:t>https://www.publicintegrity.org/environment/environmental-justice-denied</w:t>
      </w:r>
      <w:r>
        <w:rPr>
          <w:sz w:val="20"/>
          <w:szCs w:val="20"/>
        </w:rPr>
        <w:t>) (</w:t>
      </w:r>
      <w:proofErr w:type="gramStart"/>
      <w:r>
        <w:rPr>
          <w:sz w:val="20"/>
          <w:szCs w:val="20"/>
        </w:rPr>
        <w:t>report</w:t>
      </w:r>
      <w:proofErr w:type="gramEnd"/>
      <w:r>
        <w:rPr>
          <w:sz w:val="20"/>
          <w:szCs w:val="20"/>
        </w:rPr>
        <w:t xml:space="preserve"> actually states that EPA has made zero findings of discrimination in 22 years). </w:t>
      </w:r>
      <w:r>
        <w:rPr>
          <w:i/>
          <w:sz w:val="20"/>
          <w:szCs w:val="20"/>
        </w:rPr>
        <w:t xml:space="preserve">See </w:t>
      </w:r>
      <w:r>
        <w:rPr>
          <w:sz w:val="20"/>
          <w:szCs w:val="20"/>
        </w:rPr>
        <w:t xml:space="preserve">Talia Buford &amp; Kristen Lombardi, </w:t>
      </w:r>
      <w:r>
        <w:rPr>
          <w:i/>
          <w:sz w:val="20"/>
          <w:szCs w:val="20"/>
        </w:rPr>
        <w:t>Environmental Justice, Denied: Report Slams EPA Civil Rights Compliance</w:t>
      </w:r>
      <w:r>
        <w:rPr>
          <w:sz w:val="20"/>
          <w:szCs w:val="20"/>
        </w:rPr>
        <w:t xml:space="preserve">, </w:t>
      </w:r>
      <w:r w:rsidRPr="002E7581">
        <w:rPr>
          <w:smallCaps/>
          <w:sz w:val="20"/>
          <w:szCs w:val="20"/>
        </w:rPr>
        <w:t>Center for Public Integrity</w:t>
      </w:r>
      <w:r>
        <w:rPr>
          <w:sz w:val="20"/>
          <w:szCs w:val="20"/>
        </w:rPr>
        <w:t xml:space="preserve"> (Sep. 23, 2016), </w:t>
      </w:r>
      <w:proofErr w:type="gramStart"/>
      <w:r w:rsidRPr="002E7581">
        <w:rPr>
          <w:sz w:val="20"/>
          <w:szCs w:val="20"/>
        </w:rPr>
        <w:t>https</w:t>
      </w:r>
      <w:proofErr w:type="gramEnd"/>
      <w:r w:rsidRPr="002E7581">
        <w:rPr>
          <w:sz w:val="20"/>
          <w:szCs w:val="20"/>
        </w:rPr>
        <w:t>://www.publicintegrity.org/2016/09/23/20256/report-slams-epa-civil-rights-compliance</w:t>
      </w:r>
      <w:r>
        <w:rPr>
          <w:sz w:val="20"/>
          <w:szCs w:val="20"/>
        </w:rPr>
        <w:t>.</w:t>
      </w:r>
    </w:p>
  </w:footnote>
  <w:footnote w:id="226">
    <w:p w14:paraId="21AB1D0A" w14:textId="32AD9140" w:rsidR="0084636B" w:rsidRPr="000B3815" w:rsidRDefault="0084636B" w:rsidP="00800E9E">
      <w:pPr>
        <w:pStyle w:val="FootnoteText"/>
        <w:spacing w:before="60"/>
      </w:pPr>
      <w:r>
        <w:rPr>
          <w:rStyle w:val="FootnoteReference"/>
        </w:rPr>
        <w:footnoteRef/>
      </w:r>
      <w:r>
        <w:t xml:space="preserve"> </w:t>
      </w:r>
      <w:r w:rsidRPr="000B3815">
        <w:rPr>
          <w:i/>
          <w:sz w:val="20"/>
          <w:szCs w:val="20"/>
        </w:rPr>
        <w:t xml:space="preserve">Id. </w:t>
      </w:r>
    </w:p>
  </w:footnote>
  <w:footnote w:id="227">
    <w:p w14:paraId="5039FFA0" w14:textId="312F3131" w:rsidR="0084636B" w:rsidRDefault="0084636B" w:rsidP="00540E75">
      <w:pPr>
        <w:pStyle w:val="FootnoteText"/>
        <w:spacing w:before="60"/>
        <w:jc w:val="both"/>
      </w:pPr>
      <w:r>
        <w:rPr>
          <w:rStyle w:val="FootnoteReference"/>
        </w:rPr>
        <w:footnoteRef/>
      </w:r>
      <w:r>
        <w:t xml:space="preserve"> </w:t>
      </w:r>
      <w:r w:rsidRPr="00540E75">
        <w:rPr>
          <w:sz w:val="20"/>
          <w:szCs w:val="20"/>
        </w:rPr>
        <w:t>Memorandum from David A Bloom, Acting Chief Financial Officer, EPA, to Acting General Counsel, Acting Assistant Administrators, Inspector General Chief of Staff, and Acting Regional Administrators, EPA (Mar. 21, 2017).</w:t>
      </w:r>
    </w:p>
  </w:footnote>
  <w:footnote w:id="228">
    <w:p w14:paraId="5B244064" w14:textId="5A144EEC" w:rsidR="0084636B" w:rsidRDefault="0084636B" w:rsidP="00540E75">
      <w:pPr>
        <w:pStyle w:val="FootnoteText"/>
        <w:spacing w:before="60"/>
        <w:jc w:val="both"/>
      </w:pPr>
      <w:r>
        <w:rPr>
          <w:rStyle w:val="FootnoteReference"/>
        </w:rPr>
        <w:footnoteRef/>
      </w:r>
      <w:r>
        <w:t xml:space="preserve"> </w:t>
      </w:r>
      <w:r w:rsidRPr="00540E75">
        <w:rPr>
          <w:sz w:val="20"/>
          <w:szCs w:val="20"/>
        </w:rPr>
        <w:t xml:space="preserve">Juliet </w:t>
      </w:r>
      <w:proofErr w:type="spellStart"/>
      <w:r w:rsidRPr="00540E75">
        <w:rPr>
          <w:sz w:val="20"/>
          <w:szCs w:val="20"/>
        </w:rPr>
        <w:t>Eilperin</w:t>
      </w:r>
      <w:proofErr w:type="spellEnd"/>
      <w:r w:rsidRPr="00540E75">
        <w:rPr>
          <w:sz w:val="20"/>
          <w:szCs w:val="20"/>
        </w:rPr>
        <w:t xml:space="preserve"> et al, </w:t>
      </w:r>
      <w:r w:rsidRPr="00540E75">
        <w:rPr>
          <w:i/>
          <w:sz w:val="20"/>
          <w:szCs w:val="20"/>
        </w:rPr>
        <w:t>New EPA Documents Reveal Even Deeper Proposed Cuts to Staff and Programs</w:t>
      </w:r>
      <w:r w:rsidRPr="00540E75">
        <w:rPr>
          <w:sz w:val="20"/>
          <w:szCs w:val="20"/>
        </w:rPr>
        <w:t xml:space="preserve">, </w:t>
      </w:r>
      <w:r w:rsidRPr="00540E75">
        <w:rPr>
          <w:smallCaps/>
          <w:sz w:val="20"/>
          <w:szCs w:val="20"/>
        </w:rPr>
        <w:t>Washington Post</w:t>
      </w:r>
      <w:r w:rsidRPr="00540E75">
        <w:rPr>
          <w:sz w:val="20"/>
          <w:szCs w:val="20"/>
        </w:rPr>
        <w:t>, Mar. 31, 2017, https://www.washingtonpost.com/news/energy-environment/wp/2017/03/31/</w:t>
      </w:r>
      <w:r>
        <w:rPr>
          <w:sz w:val="20"/>
          <w:szCs w:val="20"/>
        </w:rPr>
        <w:br/>
      </w:r>
      <w:r w:rsidRPr="00540E75">
        <w:rPr>
          <w:sz w:val="20"/>
          <w:szCs w:val="20"/>
        </w:rPr>
        <w:t>new-epa-documents-reveal-even-deeper-proposed-cuts-to-staff-and-programs/</w:t>
      </w:r>
      <w:proofErr w:type="gramStart"/>
      <w:r w:rsidRPr="00540E75">
        <w:rPr>
          <w:sz w:val="20"/>
          <w:szCs w:val="20"/>
        </w:rPr>
        <w:t>?utm</w:t>
      </w:r>
      <w:proofErr w:type="gramEnd"/>
      <w:r w:rsidRPr="00540E75">
        <w:rPr>
          <w:sz w:val="20"/>
          <w:szCs w:val="20"/>
        </w:rPr>
        <w:t>_term=.5030c31e220d</w:t>
      </w:r>
      <w:r>
        <w:rPr>
          <w:sz w:val="20"/>
          <w:szCs w:val="20"/>
        </w:rPr>
        <w:t>.</w:t>
      </w:r>
    </w:p>
  </w:footnote>
  <w:footnote w:id="229">
    <w:p w14:paraId="1A6BCB44" w14:textId="532FAF3D" w:rsidR="0084636B" w:rsidRPr="0009035C" w:rsidRDefault="0084636B" w:rsidP="0009035C">
      <w:pPr>
        <w:pStyle w:val="FootnoteText"/>
        <w:spacing w:before="60"/>
        <w:jc w:val="both"/>
        <w:rPr>
          <w:i/>
        </w:rPr>
      </w:pPr>
      <w:r>
        <w:rPr>
          <w:rStyle w:val="FootnoteReference"/>
        </w:rPr>
        <w:footnoteRef/>
      </w:r>
      <w:r>
        <w:t xml:space="preserve"> </w:t>
      </w:r>
      <w:r w:rsidRPr="0009035C">
        <w:rPr>
          <w:i/>
          <w:sz w:val="20"/>
          <w:szCs w:val="20"/>
        </w:rPr>
        <w:t>In His First 100 Days, Cooper Has Made A Strong Start By Following a Positive Agenda</w:t>
      </w:r>
      <w:r w:rsidRPr="0009035C">
        <w:rPr>
          <w:sz w:val="20"/>
          <w:szCs w:val="20"/>
        </w:rPr>
        <w:t xml:space="preserve">, </w:t>
      </w:r>
      <w:r w:rsidRPr="0009035C">
        <w:rPr>
          <w:smallCaps/>
          <w:sz w:val="20"/>
          <w:szCs w:val="20"/>
        </w:rPr>
        <w:t>Raleigh News &amp; Observer</w:t>
      </w:r>
      <w:r w:rsidRPr="0009035C">
        <w:rPr>
          <w:sz w:val="20"/>
          <w:szCs w:val="20"/>
        </w:rPr>
        <w:t xml:space="preserve"> (Apr. 10, 2018) http://www.newsobserver.com/opinion/editorials/article143824124.html. </w:t>
      </w:r>
      <w:r w:rsidR="009F0A76">
        <w:rPr>
          <w:sz w:val="20"/>
          <w:szCs w:val="20"/>
        </w:rPr>
        <w:t>It is important to note, however, that Governor Cooper faces</w:t>
      </w:r>
      <w:r w:rsidRPr="0009035C">
        <w:rPr>
          <w:sz w:val="20"/>
          <w:szCs w:val="20"/>
        </w:rPr>
        <w:t xml:space="preserve"> a veto-proof majority in the state legislature. </w:t>
      </w:r>
      <w:r w:rsidRPr="0009035C">
        <w:rPr>
          <w:i/>
          <w:sz w:val="20"/>
          <w:szCs w:val="20"/>
        </w:rPr>
        <w:t>Id.</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220E68" w14:textId="6D9BD8AB" w:rsidR="0084636B" w:rsidRDefault="00026906">
    <w:pPr>
      <w:pStyle w:val="Header"/>
    </w:pPr>
    <w:r>
      <w:rPr>
        <w:noProof/>
      </w:rPr>
      <w:pict w14:anchorId="774358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468pt;height:156pt;z-index:-251655168;mso-wrap-edited:f;mso-position-horizontal:center;mso-position-horizontal-relative:margin;mso-position-vertical:center;mso-position-vertical-relative:margin" wrapcoords="11319 1661 69 1765 34 2284 588 3323 553 14953 34 15680 34 15992 20561 15992 20561 15680 20007 14953 19938 6646 20423 6542 21496 5503 21496 1765 11630 1661 11319 1661" fillcolor="silver" stroked="f">
          <v:textpath style="font-family:&quot;Times&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88ACB1" w14:textId="1458CE63" w:rsidR="0084636B" w:rsidRDefault="00026906">
    <w:pPr>
      <w:pStyle w:val="Header"/>
    </w:pPr>
    <w:r>
      <w:rPr>
        <w:noProof/>
      </w:rPr>
      <w:pict w14:anchorId="0DA880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468pt;height:156pt;z-index:-251657216;mso-wrap-edited:f;mso-position-horizontal:center;mso-position-horizontal-relative:margin;mso-position-vertical:center;mso-position-vertical-relative:margin" wrapcoords="11319 1661 69 1765 34 2284 588 3323 553 14953 34 15680 34 15992 20561 15992 20561 15680 20007 14953 19938 6646 20423 6542 21496 5503 21496 1765 11630 1661 11319 1661" fillcolor="silver" stroked="f">
          <v:textpath style="font-family:&quot;Times&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99F854" w14:textId="40DD581C" w:rsidR="0084636B" w:rsidRDefault="00026906">
    <w:pPr>
      <w:pStyle w:val="Header"/>
    </w:pPr>
    <w:r>
      <w:rPr>
        <w:noProof/>
      </w:rPr>
      <w:pict w14:anchorId="08A1C3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1" type="#_x0000_t136" style="position:absolute;margin-left:0;margin-top:0;width:468pt;height:156pt;z-index:-251653120;mso-wrap-edited:f;mso-position-horizontal:center;mso-position-horizontal-relative:margin;mso-position-vertical:center;mso-position-vertical-relative:margin" wrapcoords="11319 1661 69 1765 34 2284 588 3323 553 14953 34 15680 34 15992 20561 15992 20561 15680 20007 14953 19938 6646 20423 6542 21496 5503 21496 1765 11630 1661 11319 1661" fillcolor="silver" stroked="f">
          <v:textpath style="font-family:&quot;Times&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51B34"/>
    <w:multiLevelType w:val="hybridMultilevel"/>
    <w:tmpl w:val="87508FB4"/>
    <w:lvl w:ilvl="0" w:tplc="3BD01892">
      <w:start w:val="1"/>
      <w:numFmt w:val="decimal"/>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5A44"/>
    <w:multiLevelType w:val="hybridMultilevel"/>
    <w:tmpl w:val="5194F4F0"/>
    <w:lvl w:ilvl="0" w:tplc="32068AA8">
      <w:start w:val="1"/>
      <w:numFmt w:val="bullet"/>
      <w:lvlText w:val="–"/>
      <w:lvlJc w:val="left"/>
      <w:pPr>
        <w:tabs>
          <w:tab w:val="num" w:pos="720"/>
        </w:tabs>
        <w:ind w:left="720" w:hanging="360"/>
      </w:pPr>
      <w:rPr>
        <w:rFonts w:ascii="Arial" w:hAnsi="Arial" w:hint="default"/>
      </w:rPr>
    </w:lvl>
    <w:lvl w:ilvl="1" w:tplc="E8EE9852">
      <w:start w:val="1"/>
      <w:numFmt w:val="bullet"/>
      <w:lvlText w:val="–"/>
      <w:lvlJc w:val="left"/>
      <w:pPr>
        <w:tabs>
          <w:tab w:val="num" w:pos="1440"/>
        </w:tabs>
        <w:ind w:left="1440" w:hanging="360"/>
      </w:pPr>
      <w:rPr>
        <w:rFonts w:ascii="Arial" w:hAnsi="Arial" w:hint="default"/>
      </w:rPr>
    </w:lvl>
    <w:lvl w:ilvl="2" w:tplc="F9D4E478" w:tentative="1">
      <w:start w:val="1"/>
      <w:numFmt w:val="bullet"/>
      <w:lvlText w:val="–"/>
      <w:lvlJc w:val="left"/>
      <w:pPr>
        <w:tabs>
          <w:tab w:val="num" w:pos="2160"/>
        </w:tabs>
        <w:ind w:left="2160" w:hanging="360"/>
      </w:pPr>
      <w:rPr>
        <w:rFonts w:ascii="Arial" w:hAnsi="Arial" w:hint="default"/>
      </w:rPr>
    </w:lvl>
    <w:lvl w:ilvl="3" w:tplc="933A9F2A" w:tentative="1">
      <w:start w:val="1"/>
      <w:numFmt w:val="bullet"/>
      <w:lvlText w:val="–"/>
      <w:lvlJc w:val="left"/>
      <w:pPr>
        <w:tabs>
          <w:tab w:val="num" w:pos="2880"/>
        </w:tabs>
        <w:ind w:left="2880" w:hanging="360"/>
      </w:pPr>
      <w:rPr>
        <w:rFonts w:ascii="Arial" w:hAnsi="Arial" w:hint="default"/>
      </w:rPr>
    </w:lvl>
    <w:lvl w:ilvl="4" w:tplc="76FE50E6" w:tentative="1">
      <w:start w:val="1"/>
      <w:numFmt w:val="bullet"/>
      <w:lvlText w:val="–"/>
      <w:lvlJc w:val="left"/>
      <w:pPr>
        <w:tabs>
          <w:tab w:val="num" w:pos="3600"/>
        </w:tabs>
        <w:ind w:left="3600" w:hanging="360"/>
      </w:pPr>
      <w:rPr>
        <w:rFonts w:ascii="Arial" w:hAnsi="Arial" w:hint="default"/>
      </w:rPr>
    </w:lvl>
    <w:lvl w:ilvl="5" w:tplc="E8A81A3C" w:tentative="1">
      <w:start w:val="1"/>
      <w:numFmt w:val="bullet"/>
      <w:lvlText w:val="–"/>
      <w:lvlJc w:val="left"/>
      <w:pPr>
        <w:tabs>
          <w:tab w:val="num" w:pos="4320"/>
        </w:tabs>
        <w:ind w:left="4320" w:hanging="360"/>
      </w:pPr>
      <w:rPr>
        <w:rFonts w:ascii="Arial" w:hAnsi="Arial" w:hint="default"/>
      </w:rPr>
    </w:lvl>
    <w:lvl w:ilvl="6" w:tplc="AE5C8590" w:tentative="1">
      <w:start w:val="1"/>
      <w:numFmt w:val="bullet"/>
      <w:lvlText w:val="–"/>
      <w:lvlJc w:val="left"/>
      <w:pPr>
        <w:tabs>
          <w:tab w:val="num" w:pos="5040"/>
        </w:tabs>
        <w:ind w:left="5040" w:hanging="360"/>
      </w:pPr>
      <w:rPr>
        <w:rFonts w:ascii="Arial" w:hAnsi="Arial" w:hint="default"/>
      </w:rPr>
    </w:lvl>
    <w:lvl w:ilvl="7" w:tplc="6CAED8C0" w:tentative="1">
      <w:start w:val="1"/>
      <w:numFmt w:val="bullet"/>
      <w:lvlText w:val="–"/>
      <w:lvlJc w:val="left"/>
      <w:pPr>
        <w:tabs>
          <w:tab w:val="num" w:pos="5760"/>
        </w:tabs>
        <w:ind w:left="5760" w:hanging="360"/>
      </w:pPr>
      <w:rPr>
        <w:rFonts w:ascii="Arial" w:hAnsi="Arial" w:hint="default"/>
      </w:rPr>
    </w:lvl>
    <w:lvl w:ilvl="8" w:tplc="CE922BD2" w:tentative="1">
      <w:start w:val="1"/>
      <w:numFmt w:val="bullet"/>
      <w:lvlText w:val="–"/>
      <w:lvlJc w:val="left"/>
      <w:pPr>
        <w:tabs>
          <w:tab w:val="num" w:pos="6480"/>
        </w:tabs>
        <w:ind w:left="6480" w:hanging="360"/>
      </w:pPr>
      <w:rPr>
        <w:rFonts w:ascii="Arial" w:hAnsi="Arial" w:hint="default"/>
      </w:rPr>
    </w:lvl>
  </w:abstractNum>
  <w:abstractNum w:abstractNumId="3">
    <w:nsid w:val="1605042B"/>
    <w:multiLevelType w:val="hybridMultilevel"/>
    <w:tmpl w:val="200270B0"/>
    <w:lvl w:ilvl="0" w:tplc="66065452">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672F5"/>
    <w:multiLevelType w:val="hybridMultilevel"/>
    <w:tmpl w:val="EB2EE85C"/>
    <w:lvl w:ilvl="0" w:tplc="BFB2BEAA">
      <w:start w:val="1"/>
      <w:numFmt w:val="bullet"/>
      <w:lvlText w:val="•"/>
      <w:lvlJc w:val="left"/>
      <w:pPr>
        <w:tabs>
          <w:tab w:val="num" w:pos="720"/>
        </w:tabs>
        <w:ind w:left="720" w:hanging="360"/>
      </w:pPr>
      <w:rPr>
        <w:rFonts w:ascii="Arial" w:hAnsi="Arial" w:hint="default"/>
      </w:rPr>
    </w:lvl>
    <w:lvl w:ilvl="1" w:tplc="332C7CB2" w:tentative="1">
      <w:start w:val="1"/>
      <w:numFmt w:val="bullet"/>
      <w:lvlText w:val="•"/>
      <w:lvlJc w:val="left"/>
      <w:pPr>
        <w:tabs>
          <w:tab w:val="num" w:pos="1440"/>
        </w:tabs>
        <w:ind w:left="1440" w:hanging="360"/>
      </w:pPr>
      <w:rPr>
        <w:rFonts w:ascii="Arial" w:hAnsi="Arial" w:hint="default"/>
      </w:rPr>
    </w:lvl>
    <w:lvl w:ilvl="2" w:tplc="326CB91C" w:tentative="1">
      <w:start w:val="1"/>
      <w:numFmt w:val="bullet"/>
      <w:lvlText w:val="•"/>
      <w:lvlJc w:val="left"/>
      <w:pPr>
        <w:tabs>
          <w:tab w:val="num" w:pos="2160"/>
        </w:tabs>
        <w:ind w:left="2160" w:hanging="360"/>
      </w:pPr>
      <w:rPr>
        <w:rFonts w:ascii="Arial" w:hAnsi="Arial" w:hint="default"/>
      </w:rPr>
    </w:lvl>
    <w:lvl w:ilvl="3" w:tplc="0AE07CAE" w:tentative="1">
      <w:start w:val="1"/>
      <w:numFmt w:val="bullet"/>
      <w:lvlText w:val="•"/>
      <w:lvlJc w:val="left"/>
      <w:pPr>
        <w:tabs>
          <w:tab w:val="num" w:pos="2880"/>
        </w:tabs>
        <w:ind w:left="2880" w:hanging="360"/>
      </w:pPr>
      <w:rPr>
        <w:rFonts w:ascii="Arial" w:hAnsi="Arial" w:hint="default"/>
      </w:rPr>
    </w:lvl>
    <w:lvl w:ilvl="4" w:tplc="94064FF2" w:tentative="1">
      <w:start w:val="1"/>
      <w:numFmt w:val="bullet"/>
      <w:lvlText w:val="•"/>
      <w:lvlJc w:val="left"/>
      <w:pPr>
        <w:tabs>
          <w:tab w:val="num" w:pos="3600"/>
        </w:tabs>
        <w:ind w:left="3600" w:hanging="360"/>
      </w:pPr>
      <w:rPr>
        <w:rFonts w:ascii="Arial" w:hAnsi="Arial" w:hint="default"/>
      </w:rPr>
    </w:lvl>
    <w:lvl w:ilvl="5" w:tplc="72F0DB78" w:tentative="1">
      <w:start w:val="1"/>
      <w:numFmt w:val="bullet"/>
      <w:lvlText w:val="•"/>
      <w:lvlJc w:val="left"/>
      <w:pPr>
        <w:tabs>
          <w:tab w:val="num" w:pos="4320"/>
        </w:tabs>
        <w:ind w:left="4320" w:hanging="360"/>
      </w:pPr>
      <w:rPr>
        <w:rFonts w:ascii="Arial" w:hAnsi="Arial" w:hint="default"/>
      </w:rPr>
    </w:lvl>
    <w:lvl w:ilvl="6" w:tplc="374CB5FA" w:tentative="1">
      <w:start w:val="1"/>
      <w:numFmt w:val="bullet"/>
      <w:lvlText w:val="•"/>
      <w:lvlJc w:val="left"/>
      <w:pPr>
        <w:tabs>
          <w:tab w:val="num" w:pos="5040"/>
        </w:tabs>
        <w:ind w:left="5040" w:hanging="360"/>
      </w:pPr>
      <w:rPr>
        <w:rFonts w:ascii="Arial" w:hAnsi="Arial" w:hint="default"/>
      </w:rPr>
    </w:lvl>
    <w:lvl w:ilvl="7" w:tplc="D9AC16B2" w:tentative="1">
      <w:start w:val="1"/>
      <w:numFmt w:val="bullet"/>
      <w:lvlText w:val="•"/>
      <w:lvlJc w:val="left"/>
      <w:pPr>
        <w:tabs>
          <w:tab w:val="num" w:pos="5760"/>
        </w:tabs>
        <w:ind w:left="5760" w:hanging="360"/>
      </w:pPr>
      <w:rPr>
        <w:rFonts w:ascii="Arial" w:hAnsi="Arial" w:hint="default"/>
      </w:rPr>
    </w:lvl>
    <w:lvl w:ilvl="8" w:tplc="1ABE6680" w:tentative="1">
      <w:start w:val="1"/>
      <w:numFmt w:val="bullet"/>
      <w:lvlText w:val="•"/>
      <w:lvlJc w:val="left"/>
      <w:pPr>
        <w:tabs>
          <w:tab w:val="num" w:pos="6480"/>
        </w:tabs>
        <w:ind w:left="6480" w:hanging="360"/>
      </w:pPr>
      <w:rPr>
        <w:rFonts w:ascii="Arial" w:hAnsi="Arial" w:hint="default"/>
      </w:rPr>
    </w:lvl>
  </w:abstractNum>
  <w:abstractNum w:abstractNumId="5">
    <w:nsid w:val="19BB4F46"/>
    <w:multiLevelType w:val="hybridMultilevel"/>
    <w:tmpl w:val="F62A72D6"/>
    <w:lvl w:ilvl="0" w:tplc="EBA83ADC">
      <w:start w:val="1"/>
      <w:numFmt w:val="bullet"/>
      <w:lvlText w:val="•"/>
      <w:lvlJc w:val="left"/>
      <w:pPr>
        <w:tabs>
          <w:tab w:val="num" w:pos="720"/>
        </w:tabs>
        <w:ind w:left="720" w:hanging="360"/>
      </w:pPr>
      <w:rPr>
        <w:rFonts w:ascii="Arial" w:hAnsi="Arial" w:hint="default"/>
      </w:rPr>
    </w:lvl>
    <w:lvl w:ilvl="1" w:tplc="68D05130" w:tentative="1">
      <w:start w:val="1"/>
      <w:numFmt w:val="bullet"/>
      <w:lvlText w:val="•"/>
      <w:lvlJc w:val="left"/>
      <w:pPr>
        <w:tabs>
          <w:tab w:val="num" w:pos="1440"/>
        </w:tabs>
        <w:ind w:left="1440" w:hanging="360"/>
      </w:pPr>
      <w:rPr>
        <w:rFonts w:ascii="Arial" w:hAnsi="Arial" w:hint="default"/>
      </w:rPr>
    </w:lvl>
    <w:lvl w:ilvl="2" w:tplc="1214E908">
      <w:start w:val="1"/>
      <w:numFmt w:val="bullet"/>
      <w:lvlText w:val="•"/>
      <w:lvlJc w:val="left"/>
      <w:pPr>
        <w:tabs>
          <w:tab w:val="num" w:pos="2160"/>
        </w:tabs>
        <w:ind w:left="2160" w:hanging="360"/>
      </w:pPr>
      <w:rPr>
        <w:rFonts w:ascii="Arial" w:hAnsi="Arial" w:hint="default"/>
      </w:rPr>
    </w:lvl>
    <w:lvl w:ilvl="3" w:tplc="6EB451F4" w:tentative="1">
      <w:start w:val="1"/>
      <w:numFmt w:val="bullet"/>
      <w:lvlText w:val="•"/>
      <w:lvlJc w:val="left"/>
      <w:pPr>
        <w:tabs>
          <w:tab w:val="num" w:pos="2880"/>
        </w:tabs>
        <w:ind w:left="2880" w:hanging="360"/>
      </w:pPr>
      <w:rPr>
        <w:rFonts w:ascii="Arial" w:hAnsi="Arial" w:hint="default"/>
      </w:rPr>
    </w:lvl>
    <w:lvl w:ilvl="4" w:tplc="7E12EC1E" w:tentative="1">
      <w:start w:val="1"/>
      <w:numFmt w:val="bullet"/>
      <w:lvlText w:val="•"/>
      <w:lvlJc w:val="left"/>
      <w:pPr>
        <w:tabs>
          <w:tab w:val="num" w:pos="3600"/>
        </w:tabs>
        <w:ind w:left="3600" w:hanging="360"/>
      </w:pPr>
      <w:rPr>
        <w:rFonts w:ascii="Arial" w:hAnsi="Arial" w:hint="default"/>
      </w:rPr>
    </w:lvl>
    <w:lvl w:ilvl="5" w:tplc="CFC6580E" w:tentative="1">
      <w:start w:val="1"/>
      <w:numFmt w:val="bullet"/>
      <w:lvlText w:val="•"/>
      <w:lvlJc w:val="left"/>
      <w:pPr>
        <w:tabs>
          <w:tab w:val="num" w:pos="4320"/>
        </w:tabs>
        <w:ind w:left="4320" w:hanging="360"/>
      </w:pPr>
      <w:rPr>
        <w:rFonts w:ascii="Arial" w:hAnsi="Arial" w:hint="default"/>
      </w:rPr>
    </w:lvl>
    <w:lvl w:ilvl="6" w:tplc="8E9A152C" w:tentative="1">
      <w:start w:val="1"/>
      <w:numFmt w:val="bullet"/>
      <w:lvlText w:val="•"/>
      <w:lvlJc w:val="left"/>
      <w:pPr>
        <w:tabs>
          <w:tab w:val="num" w:pos="5040"/>
        </w:tabs>
        <w:ind w:left="5040" w:hanging="360"/>
      </w:pPr>
      <w:rPr>
        <w:rFonts w:ascii="Arial" w:hAnsi="Arial" w:hint="default"/>
      </w:rPr>
    </w:lvl>
    <w:lvl w:ilvl="7" w:tplc="A648B60C" w:tentative="1">
      <w:start w:val="1"/>
      <w:numFmt w:val="bullet"/>
      <w:lvlText w:val="•"/>
      <w:lvlJc w:val="left"/>
      <w:pPr>
        <w:tabs>
          <w:tab w:val="num" w:pos="5760"/>
        </w:tabs>
        <w:ind w:left="5760" w:hanging="360"/>
      </w:pPr>
      <w:rPr>
        <w:rFonts w:ascii="Arial" w:hAnsi="Arial" w:hint="default"/>
      </w:rPr>
    </w:lvl>
    <w:lvl w:ilvl="8" w:tplc="933CCF4E" w:tentative="1">
      <w:start w:val="1"/>
      <w:numFmt w:val="bullet"/>
      <w:lvlText w:val="•"/>
      <w:lvlJc w:val="left"/>
      <w:pPr>
        <w:tabs>
          <w:tab w:val="num" w:pos="6480"/>
        </w:tabs>
        <w:ind w:left="6480" w:hanging="360"/>
      </w:pPr>
      <w:rPr>
        <w:rFonts w:ascii="Arial" w:hAnsi="Arial" w:hint="default"/>
      </w:rPr>
    </w:lvl>
  </w:abstractNum>
  <w:abstractNum w:abstractNumId="6">
    <w:nsid w:val="24905E56"/>
    <w:multiLevelType w:val="hybridMultilevel"/>
    <w:tmpl w:val="8662FB42"/>
    <w:lvl w:ilvl="0" w:tplc="BBC6423C">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952A9"/>
    <w:multiLevelType w:val="hybridMultilevel"/>
    <w:tmpl w:val="CCD6B3DA"/>
    <w:lvl w:ilvl="0" w:tplc="E5B4AF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F49FE"/>
    <w:multiLevelType w:val="hybridMultilevel"/>
    <w:tmpl w:val="D93ED3E2"/>
    <w:lvl w:ilvl="0" w:tplc="2934125C">
      <w:start w:val="1"/>
      <w:numFmt w:val="bullet"/>
      <w:lvlText w:val="–"/>
      <w:lvlJc w:val="left"/>
      <w:pPr>
        <w:tabs>
          <w:tab w:val="num" w:pos="720"/>
        </w:tabs>
        <w:ind w:left="720" w:hanging="360"/>
      </w:pPr>
      <w:rPr>
        <w:rFonts w:ascii="Arial" w:hAnsi="Arial" w:hint="default"/>
      </w:rPr>
    </w:lvl>
    <w:lvl w:ilvl="1" w:tplc="A46C68FA">
      <w:start w:val="1"/>
      <w:numFmt w:val="bullet"/>
      <w:lvlText w:val="–"/>
      <w:lvlJc w:val="left"/>
      <w:pPr>
        <w:tabs>
          <w:tab w:val="num" w:pos="1440"/>
        </w:tabs>
        <w:ind w:left="1440" w:hanging="360"/>
      </w:pPr>
      <w:rPr>
        <w:rFonts w:ascii="Arial" w:hAnsi="Arial" w:hint="default"/>
      </w:rPr>
    </w:lvl>
    <w:lvl w:ilvl="2" w:tplc="C1989074" w:tentative="1">
      <w:start w:val="1"/>
      <w:numFmt w:val="bullet"/>
      <w:lvlText w:val="–"/>
      <w:lvlJc w:val="left"/>
      <w:pPr>
        <w:tabs>
          <w:tab w:val="num" w:pos="2160"/>
        </w:tabs>
        <w:ind w:left="2160" w:hanging="360"/>
      </w:pPr>
      <w:rPr>
        <w:rFonts w:ascii="Arial" w:hAnsi="Arial" w:hint="default"/>
      </w:rPr>
    </w:lvl>
    <w:lvl w:ilvl="3" w:tplc="4B009AC4" w:tentative="1">
      <w:start w:val="1"/>
      <w:numFmt w:val="bullet"/>
      <w:lvlText w:val="–"/>
      <w:lvlJc w:val="left"/>
      <w:pPr>
        <w:tabs>
          <w:tab w:val="num" w:pos="2880"/>
        </w:tabs>
        <w:ind w:left="2880" w:hanging="360"/>
      </w:pPr>
      <w:rPr>
        <w:rFonts w:ascii="Arial" w:hAnsi="Arial" w:hint="default"/>
      </w:rPr>
    </w:lvl>
    <w:lvl w:ilvl="4" w:tplc="F7343E30" w:tentative="1">
      <w:start w:val="1"/>
      <w:numFmt w:val="bullet"/>
      <w:lvlText w:val="–"/>
      <w:lvlJc w:val="left"/>
      <w:pPr>
        <w:tabs>
          <w:tab w:val="num" w:pos="3600"/>
        </w:tabs>
        <w:ind w:left="3600" w:hanging="360"/>
      </w:pPr>
      <w:rPr>
        <w:rFonts w:ascii="Arial" w:hAnsi="Arial" w:hint="default"/>
      </w:rPr>
    </w:lvl>
    <w:lvl w:ilvl="5" w:tplc="3A7E53AA" w:tentative="1">
      <w:start w:val="1"/>
      <w:numFmt w:val="bullet"/>
      <w:lvlText w:val="–"/>
      <w:lvlJc w:val="left"/>
      <w:pPr>
        <w:tabs>
          <w:tab w:val="num" w:pos="4320"/>
        </w:tabs>
        <w:ind w:left="4320" w:hanging="360"/>
      </w:pPr>
      <w:rPr>
        <w:rFonts w:ascii="Arial" w:hAnsi="Arial" w:hint="default"/>
      </w:rPr>
    </w:lvl>
    <w:lvl w:ilvl="6" w:tplc="2CB201E6" w:tentative="1">
      <w:start w:val="1"/>
      <w:numFmt w:val="bullet"/>
      <w:lvlText w:val="–"/>
      <w:lvlJc w:val="left"/>
      <w:pPr>
        <w:tabs>
          <w:tab w:val="num" w:pos="5040"/>
        </w:tabs>
        <w:ind w:left="5040" w:hanging="360"/>
      </w:pPr>
      <w:rPr>
        <w:rFonts w:ascii="Arial" w:hAnsi="Arial" w:hint="default"/>
      </w:rPr>
    </w:lvl>
    <w:lvl w:ilvl="7" w:tplc="35C40D52" w:tentative="1">
      <w:start w:val="1"/>
      <w:numFmt w:val="bullet"/>
      <w:lvlText w:val="–"/>
      <w:lvlJc w:val="left"/>
      <w:pPr>
        <w:tabs>
          <w:tab w:val="num" w:pos="5760"/>
        </w:tabs>
        <w:ind w:left="5760" w:hanging="360"/>
      </w:pPr>
      <w:rPr>
        <w:rFonts w:ascii="Arial" w:hAnsi="Arial" w:hint="default"/>
      </w:rPr>
    </w:lvl>
    <w:lvl w:ilvl="8" w:tplc="5270289C" w:tentative="1">
      <w:start w:val="1"/>
      <w:numFmt w:val="bullet"/>
      <w:lvlText w:val="–"/>
      <w:lvlJc w:val="left"/>
      <w:pPr>
        <w:tabs>
          <w:tab w:val="num" w:pos="6480"/>
        </w:tabs>
        <w:ind w:left="6480" w:hanging="360"/>
      </w:pPr>
      <w:rPr>
        <w:rFonts w:ascii="Arial" w:hAnsi="Arial" w:hint="default"/>
      </w:rPr>
    </w:lvl>
  </w:abstractNum>
  <w:abstractNum w:abstractNumId="9">
    <w:nsid w:val="49F342CD"/>
    <w:multiLevelType w:val="hybridMultilevel"/>
    <w:tmpl w:val="FB7A1550"/>
    <w:lvl w:ilvl="0" w:tplc="3346690E">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90354"/>
    <w:multiLevelType w:val="hybridMultilevel"/>
    <w:tmpl w:val="D4DCBBD0"/>
    <w:lvl w:ilvl="0" w:tplc="ED1E54CC">
      <w:start w:val="1"/>
      <w:numFmt w:val="upperRoman"/>
      <w:pStyle w:val="Heading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629E6"/>
    <w:multiLevelType w:val="multilevel"/>
    <w:tmpl w:val="34F8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7D4C6B"/>
    <w:multiLevelType w:val="hybridMultilevel"/>
    <w:tmpl w:val="BB2ADCF4"/>
    <w:lvl w:ilvl="0" w:tplc="3432E446">
      <w:start w:val="1"/>
      <w:numFmt w:val="bullet"/>
      <w:lvlText w:val="–"/>
      <w:lvlJc w:val="left"/>
      <w:pPr>
        <w:tabs>
          <w:tab w:val="num" w:pos="720"/>
        </w:tabs>
        <w:ind w:left="720" w:hanging="360"/>
      </w:pPr>
      <w:rPr>
        <w:rFonts w:ascii="Arial" w:hAnsi="Arial" w:hint="default"/>
      </w:rPr>
    </w:lvl>
    <w:lvl w:ilvl="1" w:tplc="CD6897EC">
      <w:start w:val="1"/>
      <w:numFmt w:val="bullet"/>
      <w:lvlText w:val="–"/>
      <w:lvlJc w:val="left"/>
      <w:pPr>
        <w:tabs>
          <w:tab w:val="num" w:pos="1440"/>
        </w:tabs>
        <w:ind w:left="1440" w:hanging="360"/>
      </w:pPr>
      <w:rPr>
        <w:rFonts w:ascii="Arial" w:hAnsi="Arial" w:hint="default"/>
      </w:rPr>
    </w:lvl>
    <w:lvl w:ilvl="2" w:tplc="D3EA7330" w:tentative="1">
      <w:start w:val="1"/>
      <w:numFmt w:val="bullet"/>
      <w:lvlText w:val="–"/>
      <w:lvlJc w:val="left"/>
      <w:pPr>
        <w:tabs>
          <w:tab w:val="num" w:pos="2160"/>
        </w:tabs>
        <w:ind w:left="2160" w:hanging="360"/>
      </w:pPr>
      <w:rPr>
        <w:rFonts w:ascii="Arial" w:hAnsi="Arial" w:hint="default"/>
      </w:rPr>
    </w:lvl>
    <w:lvl w:ilvl="3" w:tplc="938C09FC" w:tentative="1">
      <w:start w:val="1"/>
      <w:numFmt w:val="bullet"/>
      <w:lvlText w:val="–"/>
      <w:lvlJc w:val="left"/>
      <w:pPr>
        <w:tabs>
          <w:tab w:val="num" w:pos="2880"/>
        </w:tabs>
        <w:ind w:left="2880" w:hanging="360"/>
      </w:pPr>
      <w:rPr>
        <w:rFonts w:ascii="Arial" w:hAnsi="Arial" w:hint="default"/>
      </w:rPr>
    </w:lvl>
    <w:lvl w:ilvl="4" w:tplc="8D9C3DDA" w:tentative="1">
      <w:start w:val="1"/>
      <w:numFmt w:val="bullet"/>
      <w:lvlText w:val="–"/>
      <w:lvlJc w:val="left"/>
      <w:pPr>
        <w:tabs>
          <w:tab w:val="num" w:pos="3600"/>
        </w:tabs>
        <w:ind w:left="3600" w:hanging="360"/>
      </w:pPr>
      <w:rPr>
        <w:rFonts w:ascii="Arial" w:hAnsi="Arial" w:hint="default"/>
      </w:rPr>
    </w:lvl>
    <w:lvl w:ilvl="5" w:tplc="3A646B50" w:tentative="1">
      <w:start w:val="1"/>
      <w:numFmt w:val="bullet"/>
      <w:lvlText w:val="–"/>
      <w:lvlJc w:val="left"/>
      <w:pPr>
        <w:tabs>
          <w:tab w:val="num" w:pos="4320"/>
        </w:tabs>
        <w:ind w:left="4320" w:hanging="360"/>
      </w:pPr>
      <w:rPr>
        <w:rFonts w:ascii="Arial" w:hAnsi="Arial" w:hint="default"/>
      </w:rPr>
    </w:lvl>
    <w:lvl w:ilvl="6" w:tplc="7C7C1F72" w:tentative="1">
      <w:start w:val="1"/>
      <w:numFmt w:val="bullet"/>
      <w:lvlText w:val="–"/>
      <w:lvlJc w:val="left"/>
      <w:pPr>
        <w:tabs>
          <w:tab w:val="num" w:pos="5040"/>
        </w:tabs>
        <w:ind w:left="5040" w:hanging="360"/>
      </w:pPr>
      <w:rPr>
        <w:rFonts w:ascii="Arial" w:hAnsi="Arial" w:hint="default"/>
      </w:rPr>
    </w:lvl>
    <w:lvl w:ilvl="7" w:tplc="B80892F4" w:tentative="1">
      <w:start w:val="1"/>
      <w:numFmt w:val="bullet"/>
      <w:lvlText w:val="–"/>
      <w:lvlJc w:val="left"/>
      <w:pPr>
        <w:tabs>
          <w:tab w:val="num" w:pos="5760"/>
        </w:tabs>
        <w:ind w:left="5760" w:hanging="360"/>
      </w:pPr>
      <w:rPr>
        <w:rFonts w:ascii="Arial" w:hAnsi="Arial" w:hint="default"/>
      </w:rPr>
    </w:lvl>
    <w:lvl w:ilvl="8" w:tplc="2D34ABEC" w:tentative="1">
      <w:start w:val="1"/>
      <w:numFmt w:val="bullet"/>
      <w:lvlText w:val="–"/>
      <w:lvlJc w:val="left"/>
      <w:pPr>
        <w:tabs>
          <w:tab w:val="num" w:pos="6480"/>
        </w:tabs>
        <w:ind w:left="6480" w:hanging="360"/>
      </w:pPr>
      <w:rPr>
        <w:rFonts w:ascii="Arial" w:hAnsi="Arial" w:hint="default"/>
      </w:rPr>
    </w:lvl>
  </w:abstractNum>
  <w:abstractNum w:abstractNumId="13">
    <w:nsid w:val="619E4294"/>
    <w:multiLevelType w:val="multilevel"/>
    <w:tmpl w:val="AEFC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D0A51"/>
    <w:multiLevelType w:val="hybridMultilevel"/>
    <w:tmpl w:val="D2A8EF8E"/>
    <w:lvl w:ilvl="0" w:tplc="C4C44CD2">
      <w:start w:val="1"/>
      <w:numFmt w:val="bullet"/>
      <w:lvlText w:val="–"/>
      <w:lvlJc w:val="left"/>
      <w:pPr>
        <w:tabs>
          <w:tab w:val="num" w:pos="720"/>
        </w:tabs>
        <w:ind w:left="720" w:hanging="360"/>
      </w:pPr>
      <w:rPr>
        <w:rFonts w:ascii="Arial" w:hAnsi="Arial" w:hint="default"/>
      </w:rPr>
    </w:lvl>
    <w:lvl w:ilvl="1" w:tplc="9C2E1C90">
      <w:start w:val="1"/>
      <w:numFmt w:val="bullet"/>
      <w:lvlText w:val="–"/>
      <w:lvlJc w:val="left"/>
      <w:pPr>
        <w:tabs>
          <w:tab w:val="num" w:pos="1440"/>
        </w:tabs>
        <w:ind w:left="1440" w:hanging="360"/>
      </w:pPr>
      <w:rPr>
        <w:rFonts w:ascii="Arial" w:hAnsi="Arial" w:hint="default"/>
      </w:rPr>
    </w:lvl>
    <w:lvl w:ilvl="2" w:tplc="25824AE6" w:tentative="1">
      <w:start w:val="1"/>
      <w:numFmt w:val="bullet"/>
      <w:lvlText w:val="–"/>
      <w:lvlJc w:val="left"/>
      <w:pPr>
        <w:tabs>
          <w:tab w:val="num" w:pos="2160"/>
        </w:tabs>
        <w:ind w:left="2160" w:hanging="360"/>
      </w:pPr>
      <w:rPr>
        <w:rFonts w:ascii="Arial" w:hAnsi="Arial" w:hint="default"/>
      </w:rPr>
    </w:lvl>
    <w:lvl w:ilvl="3" w:tplc="B7F6D0A0" w:tentative="1">
      <w:start w:val="1"/>
      <w:numFmt w:val="bullet"/>
      <w:lvlText w:val="–"/>
      <w:lvlJc w:val="left"/>
      <w:pPr>
        <w:tabs>
          <w:tab w:val="num" w:pos="2880"/>
        </w:tabs>
        <w:ind w:left="2880" w:hanging="360"/>
      </w:pPr>
      <w:rPr>
        <w:rFonts w:ascii="Arial" w:hAnsi="Arial" w:hint="default"/>
      </w:rPr>
    </w:lvl>
    <w:lvl w:ilvl="4" w:tplc="3A2E8458" w:tentative="1">
      <w:start w:val="1"/>
      <w:numFmt w:val="bullet"/>
      <w:lvlText w:val="–"/>
      <w:lvlJc w:val="left"/>
      <w:pPr>
        <w:tabs>
          <w:tab w:val="num" w:pos="3600"/>
        </w:tabs>
        <w:ind w:left="3600" w:hanging="360"/>
      </w:pPr>
      <w:rPr>
        <w:rFonts w:ascii="Arial" w:hAnsi="Arial" w:hint="default"/>
      </w:rPr>
    </w:lvl>
    <w:lvl w:ilvl="5" w:tplc="CBBEF4B0" w:tentative="1">
      <w:start w:val="1"/>
      <w:numFmt w:val="bullet"/>
      <w:lvlText w:val="–"/>
      <w:lvlJc w:val="left"/>
      <w:pPr>
        <w:tabs>
          <w:tab w:val="num" w:pos="4320"/>
        </w:tabs>
        <w:ind w:left="4320" w:hanging="360"/>
      </w:pPr>
      <w:rPr>
        <w:rFonts w:ascii="Arial" w:hAnsi="Arial" w:hint="default"/>
      </w:rPr>
    </w:lvl>
    <w:lvl w:ilvl="6" w:tplc="BEAA2F88" w:tentative="1">
      <w:start w:val="1"/>
      <w:numFmt w:val="bullet"/>
      <w:lvlText w:val="–"/>
      <w:lvlJc w:val="left"/>
      <w:pPr>
        <w:tabs>
          <w:tab w:val="num" w:pos="5040"/>
        </w:tabs>
        <w:ind w:left="5040" w:hanging="360"/>
      </w:pPr>
      <w:rPr>
        <w:rFonts w:ascii="Arial" w:hAnsi="Arial" w:hint="default"/>
      </w:rPr>
    </w:lvl>
    <w:lvl w:ilvl="7" w:tplc="D13C7490" w:tentative="1">
      <w:start w:val="1"/>
      <w:numFmt w:val="bullet"/>
      <w:lvlText w:val="–"/>
      <w:lvlJc w:val="left"/>
      <w:pPr>
        <w:tabs>
          <w:tab w:val="num" w:pos="5760"/>
        </w:tabs>
        <w:ind w:left="5760" w:hanging="360"/>
      </w:pPr>
      <w:rPr>
        <w:rFonts w:ascii="Arial" w:hAnsi="Arial" w:hint="default"/>
      </w:rPr>
    </w:lvl>
    <w:lvl w:ilvl="8" w:tplc="1C36AB7C" w:tentative="1">
      <w:start w:val="1"/>
      <w:numFmt w:val="bullet"/>
      <w:lvlText w:val="–"/>
      <w:lvlJc w:val="left"/>
      <w:pPr>
        <w:tabs>
          <w:tab w:val="num" w:pos="6480"/>
        </w:tabs>
        <w:ind w:left="6480" w:hanging="360"/>
      </w:pPr>
      <w:rPr>
        <w:rFonts w:ascii="Arial" w:hAnsi="Arial" w:hint="default"/>
      </w:rPr>
    </w:lvl>
  </w:abstractNum>
  <w:abstractNum w:abstractNumId="15">
    <w:nsid w:val="674D3985"/>
    <w:multiLevelType w:val="hybridMultilevel"/>
    <w:tmpl w:val="C6E25468"/>
    <w:lvl w:ilvl="0" w:tplc="60561B1E">
      <w:start w:val="1"/>
      <w:numFmt w:val="low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977F7"/>
    <w:multiLevelType w:val="hybridMultilevel"/>
    <w:tmpl w:val="3CE69FE6"/>
    <w:lvl w:ilvl="0" w:tplc="A8BE1F00">
      <w:start w:val="1"/>
      <w:numFmt w:val="bullet"/>
      <w:lvlText w:val="–"/>
      <w:lvlJc w:val="left"/>
      <w:pPr>
        <w:tabs>
          <w:tab w:val="num" w:pos="720"/>
        </w:tabs>
        <w:ind w:left="720" w:hanging="360"/>
      </w:pPr>
      <w:rPr>
        <w:rFonts w:ascii="Arial" w:hAnsi="Arial" w:hint="default"/>
      </w:rPr>
    </w:lvl>
    <w:lvl w:ilvl="1" w:tplc="B128CFBC">
      <w:start w:val="1"/>
      <w:numFmt w:val="bullet"/>
      <w:lvlText w:val="–"/>
      <w:lvlJc w:val="left"/>
      <w:pPr>
        <w:tabs>
          <w:tab w:val="num" w:pos="1440"/>
        </w:tabs>
        <w:ind w:left="1440" w:hanging="360"/>
      </w:pPr>
      <w:rPr>
        <w:rFonts w:ascii="Arial" w:hAnsi="Arial" w:hint="default"/>
      </w:rPr>
    </w:lvl>
    <w:lvl w:ilvl="2" w:tplc="DF6255E4" w:tentative="1">
      <w:start w:val="1"/>
      <w:numFmt w:val="bullet"/>
      <w:lvlText w:val="–"/>
      <w:lvlJc w:val="left"/>
      <w:pPr>
        <w:tabs>
          <w:tab w:val="num" w:pos="2160"/>
        </w:tabs>
        <w:ind w:left="2160" w:hanging="360"/>
      </w:pPr>
      <w:rPr>
        <w:rFonts w:ascii="Arial" w:hAnsi="Arial" w:hint="default"/>
      </w:rPr>
    </w:lvl>
    <w:lvl w:ilvl="3" w:tplc="8398C44C" w:tentative="1">
      <w:start w:val="1"/>
      <w:numFmt w:val="bullet"/>
      <w:lvlText w:val="–"/>
      <w:lvlJc w:val="left"/>
      <w:pPr>
        <w:tabs>
          <w:tab w:val="num" w:pos="2880"/>
        </w:tabs>
        <w:ind w:left="2880" w:hanging="360"/>
      </w:pPr>
      <w:rPr>
        <w:rFonts w:ascii="Arial" w:hAnsi="Arial" w:hint="default"/>
      </w:rPr>
    </w:lvl>
    <w:lvl w:ilvl="4" w:tplc="1DB88008" w:tentative="1">
      <w:start w:val="1"/>
      <w:numFmt w:val="bullet"/>
      <w:lvlText w:val="–"/>
      <w:lvlJc w:val="left"/>
      <w:pPr>
        <w:tabs>
          <w:tab w:val="num" w:pos="3600"/>
        </w:tabs>
        <w:ind w:left="3600" w:hanging="360"/>
      </w:pPr>
      <w:rPr>
        <w:rFonts w:ascii="Arial" w:hAnsi="Arial" w:hint="default"/>
      </w:rPr>
    </w:lvl>
    <w:lvl w:ilvl="5" w:tplc="2EACC7A0" w:tentative="1">
      <w:start w:val="1"/>
      <w:numFmt w:val="bullet"/>
      <w:lvlText w:val="–"/>
      <w:lvlJc w:val="left"/>
      <w:pPr>
        <w:tabs>
          <w:tab w:val="num" w:pos="4320"/>
        </w:tabs>
        <w:ind w:left="4320" w:hanging="360"/>
      </w:pPr>
      <w:rPr>
        <w:rFonts w:ascii="Arial" w:hAnsi="Arial" w:hint="default"/>
      </w:rPr>
    </w:lvl>
    <w:lvl w:ilvl="6" w:tplc="E9A2A070" w:tentative="1">
      <w:start w:val="1"/>
      <w:numFmt w:val="bullet"/>
      <w:lvlText w:val="–"/>
      <w:lvlJc w:val="left"/>
      <w:pPr>
        <w:tabs>
          <w:tab w:val="num" w:pos="5040"/>
        </w:tabs>
        <w:ind w:left="5040" w:hanging="360"/>
      </w:pPr>
      <w:rPr>
        <w:rFonts w:ascii="Arial" w:hAnsi="Arial" w:hint="default"/>
      </w:rPr>
    </w:lvl>
    <w:lvl w:ilvl="7" w:tplc="5874CFA4" w:tentative="1">
      <w:start w:val="1"/>
      <w:numFmt w:val="bullet"/>
      <w:lvlText w:val="–"/>
      <w:lvlJc w:val="left"/>
      <w:pPr>
        <w:tabs>
          <w:tab w:val="num" w:pos="5760"/>
        </w:tabs>
        <w:ind w:left="5760" w:hanging="360"/>
      </w:pPr>
      <w:rPr>
        <w:rFonts w:ascii="Arial" w:hAnsi="Arial" w:hint="default"/>
      </w:rPr>
    </w:lvl>
    <w:lvl w:ilvl="8" w:tplc="523C199C" w:tentative="1">
      <w:start w:val="1"/>
      <w:numFmt w:val="bullet"/>
      <w:lvlText w:val="–"/>
      <w:lvlJc w:val="left"/>
      <w:pPr>
        <w:tabs>
          <w:tab w:val="num" w:pos="6480"/>
        </w:tabs>
        <w:ind w:left="6480" w:hanging="360"/>
      </w:pPr>
      <w:rPr>
        <w:rFonts w:ascii="Arial" w:hAnsi="Arial" w:hint="default"/>
      </w:rPr>
    </w:lvl>
  </w:abstractNum>
  <w:abstractNum w:abstractNumId="17">
    <w:nsid w:val="6C7A62F9"/>
    <w:multiLevelType w:val="hybridMultilevel"/>
    <w:tmpl w:val="5C20AE14"/>
    <w:lvl w:ilvl="0" w:tplc="AF0497B0">
      <w:start w:val="1"/>
      <w:numFmt w:val="bullet"/>
      <w:lvlText w:val="–"/>
      <w:lvlJc w:val="left"/>
      <w:pPr>
        <w:tabs>
          <w:tab w:val="num" w:pos="720"/>
        </w:tabs>
        <w:ind w:left="720" w:hanging="360"/>
      </w:pPr>
      <w:rPr>
        <w:rFonts w:ascii="Arial" w:hAnsi="Arial" w:hint="default"/>
      </w:rPr>
    </w:lvl>
    <w:lvl w:ilvl="1" w:tplc="AC6C3A28">
      <w:start w:val="1"/>
      <w:numFmt w:val="bullet"/>
      <w:lvlText w:val="–"/>
      <w:lvlJc w:val="left"/>
      <w:pPr>
        <w:tabs>
          <w:tab w:val="num" w:pos="1440"/>
        </w:tabs>
        <w:ind w:left="1440" w:hanging="360"/>
      </w:pPr>
      <w:rPr>
        <w:rFonts w:ascii="Arial" w:hAnsi="Arial" w:hint="default"/>
      </w:rPr>
    </w:lvl>
    <w:lvl w:ilvl="2" w:tplc="85DE3CDE" w:tentative="1">
      <w:start w:val="1"/>
      <w:numFmt w:val="bullet"/>
      <w:lvlText w:val="–"/>
      <w:lvlJc w:val="left"/>
      <w:pPr>
        <w:tabs>
          <w:tab w:val="num" w:pos="2160"/>
        </w:tabs>
        <w:ind w:left="2160" w:hanging="360"/>
      </w:pPr>
      <w:rPr>
        <w:rFonts w:ascii="Arial" w:hAnsi="Arial" w:hint="default"/>
      </w:rPr>
    </w:lvl>
    <w:lvl w:ilvl="3" w:tplc="9C108B9C" w:tentative="1">
      <w:start w:val="1"/>
      <w:numFmt w:val="bullet"/>
      <w:lvlText w:val="–"/>
      <w:lvlJc w:val="left"/>
      <w:pPr>
        <w:tabs>
          <w:tab w:val="num" w:pos="2880"/>
        </w:tabs>
        <w:ind w:left="2880" w:hanging="360"/>
      </w:pPr>
      <w:rPr>
        <w:rFonts w:ascii="Arial" w:hAnsi="Arial" w:hint="default"/>
      </w:rPr>
    </w:lvl>
    <w:lvl w:ilvl="4" w:tplc="73727C78" w:tentative="1">
      <w:start w:val="1"/>
      <w:numFmt w:val="bullet"/>
      <w:lvlText w:val="–"/>
      <w:lvlJc w:val="left"/>
      <w:pPr>
        <w:tabs>
          <w:tab w:val="num" w:pos="3600"/>
        </w:tabs>
        <w:ind w:left="3600" w:hanging="360"/>
      </w:pPr>
      <w:rPr>
        <w:rFonts w:ascii="Arial" w:hAnsi="Arial" w:hint="default"/>
      </w:rPr>
    </w:lvl>
    <w:lvl w:ilvl="5" w:tplc="A114F004" w:tentative="1">
      <w:start w:val="1"/>
      <w:numFmt w:val="bullet"/>
      <w:lvlText w:val="–"/>
      <w:lvlJc w:val="left"/>
      <w:pPr>
        <w:tabs>
          <w:tab w:val="num" w:pos="4320"/>
        </w:tabs>
        <w:ind w:left="4320" w:hanging="360"/>
      </w:pPr>
      <w:rPr>
        <w:rFonts w:ascii="Arial" w:hAnsi="Arial" w:hint="default"/>
      </w:rPr>
    </w:lvl>
    <w:lvl w:ilvl="6" w:tplc="6652BBB0" w:tentative="1">
      <w:start w:val="1"/>
      <w:numFmt w:val="bullet"/>
      <w:lvlText w:val="–"/>
      <w:lvlJc w:val="left"/>
      <w:pPr>
        <w:tabs>
          <w:tab w:val="num" w:pos="5040"/>
        </w:tabs>
        <w:ind w:left="5040" w:hanging="360"/>
      </w:pPr>
      <w:rPr>
        <w:rFonts w:ascii="Arial" w:hAnsi="Arial" w:hint="default"/>
      </w:rPr>
    </w:lvl>
    <w:lvl w:ilvl="7" w:tplc="D8B09030" w:tentative="1">
      <w:start w:val="1"/>
      <w:numFmt w:val="bullet"/>
      <w:lvlText w:val="–"/>
      <w:lvlJc w:val="left"/>
      <w:pPr>
        <w:tabs>
          <w:tab w:val="num" w:pos="5760"/>
        </w:tabs>
        <w:ind w:left="5760" w:hanging="360"/>
      </w:pPr>
      <w:rPr>
        <w:rFonts w:ascii="Arial" w:hAnsi="Arial" w:hint="default"/>
      </w:rPr>
    </w:lvl>
    <w:lvl w:ilvl="8" w:tplc="F7120984" w:tentative="1">
      <w:start w:val="1"/>
      <w:numFmt w:val="bullet"/>
      <w:lvlText w:val="–"/>
      <w:lvlJc w:val="left"/>
      <w:pPr>
        <w:tabs>
          <w:tab w:val="num" w:pos="6480"/>
        </w:tabs>
        <w:ind w:left="6480" w:hanging="360"/>
      </w:pPr>
      <w:rPr>
        <w:rFonts w:ascii="Arial" w:hAnsi="Arial" w:hint="default"/>
      </w:rPr>
    </w:lvl>
  </w:abstractNum>
  <w:abstractNum w:abstractNumId="18">
    <w:nsid w:val="6E312149"/>
    <w:multiLevelType w:val="hybridMultilevel"/>
    <w:tmpl w:val="5A5002E4"/>
    <w:lvl w:ilvl="0" w:tplc="735E3940">
      <w:start w:val="1"/>
      <w:numFmt w:val="upperRoman"/>
      <w:pStyle w:val="Heading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C3012"/>
    <w:multiLevelType w:val="hybridMultilevel"/>
    <w:tmpl w:val="A42216D0"/>
    <w:lvl w:ilvl="0" w:tplc="7430BDD2">
      <w:start w:val="1"/>
      <w:numFmt w:val="bullet"/>
      <w:lvlText w:val="–"/>
      <w:lvlJc w:val="left"/>
      <w:pPr>
        <w:tabs>
          <w:tab w:val="num" w:pos="720"/>
        </w:tabs>
        <w:ind w:left="720" w:hanging="360"/>
      </w:pPr>
      <w:rPr>
        <w:rFonts w:ascii="Arial" w:hAnsi="Arial" w:hint="default"/>
      </w:rPr>
    </w:lvl>
    <w:lvl w:ilvl="1" w:tplc="CDAE27A6">
      <w:start w:val="1"/>
      <w:numFmt w:val="bullet"/>
      <w:lvlText w:val="–"/>
      <w:lvlJc w:val="left"/>
      <w:pPr>
        <w:tabs>
          <w:tab w:val="num" w:pos="1440"/>
        </w:tabs>
        <w:ind w:left="1440" w:hanging="360"/>
      </w:pPr>
      <w:rPr>
        <w:rFonts w:ascii="Arial" w:hAnsi="Arial" w:hint="default"/>
      </w:rPr>
    </w:lvl>
    <w:lvl w:ilvl="2" w:tplc="910ADA7E" w:tentative="1">
      <w:start w:val="1"/>
      <w:numFmt w:val="bullet"/>
      <w:lvlText w:val="–"/>
      <w:lvlJc w:val="left"/>
      <w:pPr>
        <w:tabs>
          <w:tab w:val="num" w:pos="2160"/>
        </w:tabs>
        <w:ind w:left="2160" w:hanging="360"/>
      </w:pPr>
      <w:rPr>
        <w:rFonts w:ascii="Arial" w:hAnsi="Arial" w:hint="default"/>
      </w:rPr>
    </w:lvl>
    <w:lvl w:ilvl="3" w:tplc="C480079E" w:tentative="1">
      <w:start w:val="1"/>
      <w:numFmt w:val="bullet"/>
      <w:lvlText w:val="–"/>
      <w:lvlJc w:val="left"/>
      <w:pPr>
        <w:tabs>
          <w:tab w:val="num" w:pos="2880"/>
        </w:tabs>
        <w:ind w:left="2880" w:hanging="360"/>
      </w:pPr>
      <w:rPr>
        <w:rFonts w:ascii="Arial" w:hAnsi="Arial" w:hint="default"/>
      </w:rPr>
    </w:lvl>
    <w:lvl w:ilvl="4" w:tplc="8CAA0210" w:tentative="1">
      <w:start w:val="1"/>
      <w:numFmt w:val="bullet"/>
      <w:lvlText w:val="–"/>
      <w:lvlJc w:val="left"/>
      <w:pPr>
        <w:tabs>
          <w:tab w:val="num" w:pos="3600"/>
        </w:tabs>
        <w:ind w:left="3600" w:hanging="360"/>
      </w:pPr>
      <w:rPr>
        <w:rFonts w:ascii="Arial" w:hAnsi="Arial" w:hint="default"/>
      </w:rPr>
    </w:lvl>
    <w:lvl w:ilvl="5" w:tplc="7D1ADE76" w:tentative="1">
      <w:start w:val="1"/>
      <w:numFmt w:val="bullet"/>
      <w:lvlText w:val="–"/>
      <w:lvlJc w:val="left"/>
      <w:pPr>
        <w:tabs>
          <w:tab w:val="num" w:pos="4320"/>
        </w:tabs>
        <w:ind w:left="4320" w:hanging="360"/>
      </w:pPr>
      <w:rPr>
        <w:rFonts w:ascii="Arial" w:hAnsi="Arial" w:hint="default"/>
      </w:rPr>
    </w:lvl>
    <w:lvl w:ilvl="6" w:tplc="F4446F34" w:tentative="1">
      <w:start w:val="1"/>
      <w:numFmt w:val="bullet"/>
      <w:lvlText w:val="–"/>
      <w:lvlJc w:val="left"/>
      <w:pPr>
        <w:tabs>
          <w:tab w:val="num" w:pos="5040"/>
        </w:tabs>
        <w:ind w:left="5040" w:hanging="360"/>
      </w:pPr>
      <w:rPr>
        <w:rFonts w:ascii="Arial" w:hAnsi="Arial" w:hint="default"/>
      </w:rPr>
    </w:lvl>
    <w:lvl w:ilvl="7" w:tplc="BE9A98DA" w:tentative="1">
      <w:start w:val="1"/>
      <w:numFmt w:val="bullet"/>
      <w:lvlText w:val="–"/>
      <w:lvlJc w:val="left"/>
      <w:pPr>
        <w:tabs>
          <w:tab w:val="num" w:pos="5760"/>
        </w:tabs>
        <w:ind w:left="5760" w:hanging="360"/>
      </w:pPr>
      <w:rPr>
        <w:rFonts w:ascii="Arial" w:hAnsi="Arial" w:hint="default"/>
      </w:rPr>
    </w:lvl>
    <w:lvl w:ilvl="8" w:tplc="694E4F88" w:tentative="1">
      <w:start w:val="1"/>
      <w:numFmt w:val="bullet"/>
      <w:lvlText w:val="–"/>
      <w:lvlJc w:val="left"/>
      <w:pPr>
        <w:tabs>
          <w:tab w:val="num" w:pos="6480"/>
        </w:tabs>
        <w:ind w:left="6480" w:hanging="360"/>
      </w:pPr>
      <w:rPr>
        <w:rFonts w:ascii="Arial" w:hAnsi="Arial" w:hint="default"/>
      </w:rPr>
    </w:lvl>
  </w:abstractNum>
  <w:abstractNum w:abstractNumId="20">
    <w:nsid w:val="71E23A46"/>
    <w:multiLevelType w:val="hybridMultilevel"/>
    <w:tmpl w:val="8014EA1E"/>
    <w:lvl w:ilvl="0" w:tplc="0FD6F9AC">
      <w:start w:val="1"/>
      <w:numFmt w:val="bullet"/>
      <w:lvlText w:val="–"/>
      <w:lvlJc w:val="left"/>
      <w:pPr>
        <w:tabs>
          <w:tab w:val="num" w:pos="720"/>
        </w:tabs>
        <w:ind w:left="720" w:hanging="360"/>
      </w:pPr>
      <w:rPr>
        <w:rFonts w:ascii="Arial" w:hAnsi="Arial" w:hint="default"/>
      </w:rPr>
    </w:lvl>
    <w:lvl w:ilvl="1" w:tplc="CA580E06">
      <w:start w:val="1"/>
      <w:numFmt w:val="bullet"/>
      <w:lvlText w:val="–"/>
      <w:lvlJc w:val="left"/>
      <w:pPr>
        <w:tabs>
          <w:tab w:val="num" w:pos="1440"/>
        </w:tabs>
        <w:ind w:left="1440" w:hanging="360"/>
      </w:pPr>
      <w:rPr>
        <w:rFonts w:ascii="Arial" w:hAnsi="Arial" w:hint="default"/>
      </w:rPr>
    </w:lvl>
    <w:lvl w:ilvl="2" w:tplc="4F8ADBB4" w:tentative="1">
      <w:start w:val="1"/>
      <w:numFmt w:val="bullet"/>
      <w:lvlText w:val="–"/>
      <w:lvlJc w:val="left"/>
      <w:pPr>
        <w:tabs>
          <w:tab w:val="num" w:pos="2160"/>
        </w:tabs>
        <w:ind w:left="2160" w:hanging="360"/>
      </w:pPr>
      <w:rPr>
        <w:rFonts w:ascii="Arial" w:hAnsi="Arial" w:hint="default"/>
      </w:rPr>
    </w:lvl>
    <w:lvl w:ilvl="3" w:tplc="25AE00C8" w:tentative="1">
      <w:start w:val="1"/>
      <w:numFmt w:val="bullet"/>
      <w:lvlText w:val="–"/>
      <w:lvlJc w:val="left"/>
      <w:pPr>
        <w:tabs>
          <w:tab w:val="num" w:pos="2880"/>
        </w:tabs>
        <w:ind w:left="2880" w:hanging="360"/>
      </w:pPr>
      <w:rPr>
        <w:rFonts w:ascii="Arial" w:hAnsi="Arial" w:hint="default"/>
      </w:rPr>
    </w:lvl>
    <w:lvl w:ilvl="4" w:tplc="78220B9E" w:tentative="1">
      <w:start w:val="1"/>
      <w:numFmt w:val="bullet"/>
      <w:lvlText w:val="–"/>
      <w:lvlJc w:val="left"/>
      <w:pPr>
        <w:tabs>
          <w:tab w:val="num" w:pos="3600"/>
        </w:tabs>
        <w:ind w:left="3600" w:hanging="360"/>
      </w:pPr>
      <w:rPr>
        <w:rFonts w:ascii="Arial" w:hAnsi="Arial" w:hint="default"/>
      </w:rPr>
    </w:lvl>
    <w:lvl w:ilvl="5" w:tplc="240067B4" w:tentative="1">
      <w:start w:val="1"/>
      <w:numFmt w:val="bullet"/>
      <w:lvlText w:val="–"/>
      <w:lvlJc w:val="left"/>
      <w:pPr>
        <w:tabs>
          <w:tab w:val="num" w:pos="4320"/>
        </w:tabs>
        <w:ind w:left="4320" w:hanging="360"/>
      </w:pPr>
      <w:rPr>
        <w:rFonts w:ascii="Arial" w:hAnsi="Arial" w:hint="default"/>
      </w:rPr>
    </w:lvl>
    <w:lvl w:ilvl="6" w:tplc="C6C4E89C" w:tentative="1">
      <w:start w:val="1"/>
      <w:numFmt w:val="bullet"/>
      <w:lvlText w:val="–"/>
      <w:lvlJc w:val="left"/>
      <w:pPr>
        <w:tabs>
          <w:tab w:val="num" w:pos="5040"/>
        </w:tabs>
        <w:ind w:left="5040" w:hanging="360"/>
      </w:pPr>
      <w:rPr>
        <w:rFonts w:ascii="Arial" w:hAnsi="Arial" w:hint="default"/>
      </w:rPr>
    </w:lvl>
    <w:lvl w:ilvl="7" w:tplc="3E2A3FCC" w:tentative="1">
      <w:start w:val="1"/>
      <w:numFmt w:val="bullet"/>
      <w:lvlText w:val="–"/>
      <w:lvlJc w:val="left"/>
      <w:pPr>
        <w:tabs>
          <w:tab w:val="num" w:pos="5760"/>
        </w:tabs>
        <w:ind w:left="5760" w:hanging="360"/>
      </w:pPr>
      <w:rPr>
        <w:rFonts w:ascii="Arial" w:hAnsi="Arial" w:hint="default"/>
      </w:rPr>
    </w:lvl>
    <w:lvl w:ilvl="8" w:tplc="E9C26984" w:tentative="1">
      <w:start w:val="1"/>
      <w:numFmt w:val="bullet"/>
      <w:lvlText w:val="–"/>
      <w:lvlJc w:val="left"/>
      <w:pPr>
        <w:tabs>
          <w:tab w:val="num" w:pos="6480"/>
        </w:tabs>
        <w:ind w:left="6480" w:hanging="360"/>
      </w:pPr>
      <w:rPr>
        <w:rFonts w:ascii="Arial" w:hAnsi="Arial" w:hint="default"/>
      </w:rPr>
    </w:lvl>
  </w:abstractNum>
  <w:abstractNum w:abstractNumId="21">
    <w:nsid w:val="7A6420D8"/>
    <w:multiLevelType w:val="hybridMultilevel"/>
    <w:tmpl w:val="7408C60C"/>
    <w:lvl w:ilvl="0" w:tplc="523E9AE4">
      <w:start w:val="1"/>
      <w:numFmt w:val="bullet"/>
      <w:lvlText w:val="–"/>
      <w:lvlJc w:val="left"/>
      <w:pPr>
        <w:tabs>
          <w:tab w:val="num" w:pos="720"/>
        </w:tabs>
        <w:ind w:left="720" w:hanging="360"/>
      </w:pPr>
      <w:rPr>
        <w:rFonts w:ascii="Arial" w:hAnsi="Arial" w:hint="default"/>
      </w:rPr>
    </w:lvl>
    <w:lvl w:ilvl="1" w:tplc="C5FCD92E">
      <w:start w:val="1"/>
      <w:numFmt w:val="bullet"/>
      <w:lvlText w:val="–"/>
      <w:lvlJc w:val="left"/>
      <w:pPr>
        <w:tabs>
          <w:tab w:val="num" w:pos="1440"/>
        </w:tabs>
        <w:ind w:left="1440" w:hanging="360"/>
      </w:pPr>
      <w:rPr>
        <w:rFonts w:ascii="Arial" w:hAnsi="Arial" w:hint="default"/>
      </w:rPr>
    </w:lvl>
    <w:lvl w:ilvl="2" w:tplc="45368DA6" w:tentative="1">
      <w:start w:val="1"/>
      <w:numFmt w:val="bullet"/>
      <w:lvlText w:val="–"/>
      <w:lvlJc w:val="left"/>
      <w:pPr>
        <w:tabs>
          <w:tab w:val="num" w:pos="2160"/>
        </w:tabs>
        <w:ind w:left="2160" w:hanging="360"/>
      </w:pPr>
      <w:rPr>
        <w:rFonts w:ascii="Arial" w:hAnsi="Arial" w:hint="default"/>
      </w:rPr>
    </w:lvl>
    <w:lvl w:ilvl="3" w:tplc="BED6B1BE" w:tentative="1">
      <w:start w:val="1"/>
      <w:numFmt w:val="bullet"/>
      <w:lvlText w:val="–"/>
      <w:lvlJc w:val="left"/>
      <w:pPr>
        <w:tabs>
          <w:tab w:val="num" w:pos="2880"/>
        </w:tabs>
        <w:ind w:left="2880" w:hanging="360"/>
      </w:pPr>
      <w:rPr>
        <w:rFonts w:ascii="Arial" w:hAnsi="Arial" w:hint="default"/>
      </w:rPr>
    </w:lvl>
    <w:lvl w:ilvl="4" w:tplc="652CC7C8" w:tentative="1">
      <w:start w:val="1"/>
      <w:numFmt w:val="bullet"/>
      <w:lvlText w:val="–"/>
      <w:lvlJc w:val="left"/>
      <w:pPr>
        <w:tabs>
          <w:tab w:val="num" w:pos="3600"/>
        </w:tabs>
        <w:ind w:left="3600" w:hanging="360"/>
      </w:pPr>
      <w:rPr>
        <w:rFonts w:ascii="Arial" w:hAnsi="Arial" w:hint="default"/>
      </w:rPr>
    </w:lvl>
    <w:lvl w:ilvl="5" w:tplc="BC74557A" w:tentative="1">
      <w:start w:val="1"/>
      <w:numFmt w:val="bullet"/>
      <w:lvlText w:val="–"/>
      <w:lvlJc w:val="left"/>
      <w:pPr>
        <w:tabs>
          <w:tab w:val="num" w:pos="4320"/>
        </w:tabs>
        <w:ind w:left="4320" w:hanging="360"/>
      </w:pPr>
      <w:rPr>
        <w:rFonts w:ascii="Arial" w:hAnsi="Arial" w:hint="default"/>
      </w:rPr>
    </w:lvl>
    <w:lvl w:ilvl="6" w:tplc="8EDE8178" w:tentative="1">
      <w:start w:val="1"/>
      <w:numFmt w:val="bullet"/>
      <w:lvlText w:val="–"/>
      <w:lvlJc w:val="left"/>
      <w:pPr>
        <w:tabs>
          <w:tab w:val="num" w:pos="5040"/>
        </w:tabs>
        <w:ind w:left="5040" w:hanging="360"/>
      </w:pPr>
      <w:rPr>
        <w:rFonts w:ascii="Arial" w:hAnsi="Arial" w:hint="default"/>
      </w:rPr>
    </w:lvl>
    <w:lvl w:ilvl="7" w:tplc="6D40B8D8" w:tentative="1">
      <w:start w:val="1"/>
      <w:numFmt w:val="bullet"/>
      <w:lvlText w:val="–"/>
      <w:lvlJc w:val="left"/>
      <w:pPr>
        <w:tabs>
          <w:tab w:val="num" w:pos="5760"/>
        </w:tabs>
        <w:ind w:left="5760" w:hanging="360"/>
      </w:pPr>
      <w:rPr>
        <w:rFonts w:ascii="Arial" w:hAnsi="Arial" w:hint="default"/>
      </w:rPr>
    </w:lvl>
    <w:lvl w:ilvl="8" w:tplc="B2700930" w:tentative="1">
      <w:start w:val="1"/>
      <w:numFmt w:val="bullet"/>
      <w:lvlText w:val="–"/>
      <w:lvlJc w:val="left"/>
      <w:pPr>
        <w:tabs>
          <w:tab w:val="num" w:pos="6480"/>
        </w:tabs>
        <w:ind w:left="6480" w:hanging="360"/>
      </w:pPr>
      <w:rPr>
        <w:rFonts w:ascii="Arial" w:hAnsi="Arial" w:hint="default"/>
      </w:rPr>
    </w:lvl>
  </w:abstractNum>
  <w:abstractNum w:abstractNumId="22">
    <w:nsid w:val="7B566433"/>
    <w:multiLevelType w:val="hybridMultilevel"/>
    <w:tmpl w:val="6944DB42"/>
    <w:lvl w:ilvl="0" w:tplc="188E5122">
      <w:start w:val="1"/>
      <w:numFmt w:val="bullet"/>
      <w:lvlText w:val="–"/>
      <w:lvlJc w:val="left"/>
      <w:pPr>
        <w:tabs>
          <w:tab w:val="num" w:pos="720"/>
        </w:tabs>
        <w:ind w:left="720" w:hanging="360"/>
      </w:pPr>
      <w:rPr>
        <w:rFonts w:ascii="Arial" w:hAnsi="Arial" w:hint="default"/>
      </w:rPr>
    </w:lvl>
    <w:lvl w:ilvl="1" w:tplc="E33AD4CE">
      <w:start w:val="1"/>
      <w:numFmt w:val="bullet"/>
      <w:lvlText w:val="–"/>
      <w:lvlJc w:val="left"/>
      <w:pPr>
        <w:tabs>
          <w:tab w:val="num" w:pos="1440"/>
        </w:tabs>
        <w:ind w:left="1440" w:hanging="360"/>
      </w:pPr>
      <w:rPr>
        <w:rFonts w:ascii="Arial" w:hAnsi="Arial" w:hint="default"/>
      </w:rPr>
    </w:lvl>
    <w:lvl w:ilvl="2" w:tplc="A140AEAE" w:tentative="1">
      <w:start w:val="1"/>
      <w:numFmt w:val="bullet"/>
      <w:lvlText w:val="–"/>
      <w:lvlJc w:val="left"/>
      <w:pPr>
        <w:tabs>
          <w:tab w:val="num" w:pos="2160"/>
        </w:tabs>
        <w:ind w:left="2160" w:hanging="360"/>
      </w:pPr>
      <w:rPr>
        <w:rFonts w:ascii="Arial" w:hAnsi="Arial" w:hint="default"/>
      </w:rPr>
    </w:lvl>
    <w:lvl w:ilvl="3" w:tplc="B43616AC" w:tentative="1">
      <w:start w:val="1"/>
      <w:numFmt w:val="bullet"/>
      <w:lvlText w:val="–"/>
      <w:lvlJc w:val="left"/>
      <w:pPr>
        <w:tabs>
          <w:tab w:val="num" w:pos="2880"/>
        </w:tabs>
        <w:ind w:left="2880" w:hanging="360"/>
      </w:pPr>
      <w:rPr>
        <w:rFonts w:ascii="Arial" w:hAnsi="Arial" w:hint="default"/>
      </w:rPr>
    </w:lvl>
    <w:lvl w:ilvl="4" w:tplc="3DE8562A" w:tentative="1">
      <w:start w:val="1"/>
      <w:numFmt w:val="bullet"/>
      <w:lvlText w:val="–"/>
      <w:lvlJc w:val="left"/>
      <w:pPr>
        <w:tabs>
          <w:tab w:val="num" w:pos="3600"/>
        </w:tabs>
        <w:ind w:left="3600" w:hanging="360"/>
      </w:pPr>
      <w:rPr>
        <w:rFonts w:ascii="Arial" w:hAnsi="Arial" w:hint="default"/>
      </w:rPr>
    </w:lvl>
    <w:lvl w:ilvl="5" w:tplc="EAFEAB14" w:tentative="1">
      <w:start w:val="1"/>
      <w:numFmt w:val="bullet"/>
      <w:lvlText w:val="–"/>
      <w:lvlJc w:val="left"/>
      <w:pPr>
        <w:tabs>
          <w:tab w:val="num" w:pos="4320"/>
        </w:tabs>
        <w:ind w:left="4320" w:hanging="360"/>
      </w:pPr>
      <w:rPr>
        <w:rFonts w:ascii="Arial" w:hAnsi="Arial" w:hint="default"/>
      </w:rPr>
    </w:lvl>
    <w:lvl w:ilvl="6" w:tplc="C442ADA8" w:tentative="1">
      <w:start w:val="1"/>
      <w:numFmt w:val="bullet"/>
      <w:lvlText w:val="–"/>
      <w:lvlJc w:val="left"/>
      <w:pPr>
        <w:tabs>
          <w:tab w:val="num" w:pos="5040"/>
        </w:tabs>
        <w:ind w:left="5040" w:hanging="360"/>
      </w:pPr>
      <w:rPr>
        <w:rFonts w:ascii="Arial" w:hAnsi="Arial" w:hint="default"/>
      </w:rPr>
    </w:lvl>
    <w:lvl w:ilvl="7" w:tplc="9CA01508" w:tentative="1">
      <w:start w:val="1"/>
      <w:numFmt w:val="bullet"/>
      <w:lvlText w:val="–"/>
      <w:lvlJc w:val="left"/>
      <w:pPr>
        <w:tabs>
          <w:tab w:val="num" w:pos="5760"/>
        </w:tabs>
        <w:ind w:left="5760" w:hanging="360"/>
      </w:pPr>
      <w:rPr>
        <w:rFonts w:ascii="Arial" w:hAnsi="Arial" w:hint="default"/>
      </w:rPr>
    </w:lvl>
    <w:lvl w:ilvl="8" w:tplc="48AC40A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8"/>
  </w:num>
  <w:num w:numId="4">
    <w:abstractNumId w:val="18"/>
  </w:num>
  <w:num w:numId="5">
    <w:abstractNumId w:val="3"/>
  </w:num>
  <w:num w:numId="6">
    <w:abstractNumId w:val="6"/>
  </w:num>
  <w:num w:numId="7">
    <w:abstractNumId w:val="9"/>
  </w:num>
  <w:num w:numId="8">
    <w:abstractNumId w:val="15"/>
  </w:num>
  <w:num w:numId="9">
    <w:abstractNumId w:val="1"/>
  </w:num>
  <w:num w:numId="10">
    <w:abstractNumId w:val="8"/>
  </w:num>
  <w:num w:numId="11">
    <w:abstractNumId w:val="11"/>
  </w:num>
  <w:num w:numId="12">
    <w:abstractNumId w:val="17"/>
  </w:num>
  <w:num w:numId="13">
    <w:abstractNumId w:val="20"/>
  </w:num>
  <w:num w:numId="14">
    <w:abstractNumId w:val="5"/>
  </w:num>
  <w:num w:numId="15">
    <w:abstractNumId w:val="2"/>
  </w:num>
  <w:num w:numId="16">
    <w:abstractNumId w:val="14"/>
  </w:num>
  <w:num w:numId="17">
    <w:abstractNumId w:val="21"/>
  </w:num>
  <w:num w:numId="18">
    <w:abstractNumId w:val="13"/>
  </w:num>
  <w:num w:numId="19">
    <w:abstractNumId w:val="16"/>
  </w:num>
  <w:num w:numId="20">
    <w:abstractNumId w:val="4"/>
  </w:num>
  <w:num w:numId="21">
    <w:abstractNumId w:val="12"/>
  </w:num>
  <w:num w:numId="22">
    <w:abstractNumId w:val="22"/>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5A"/>
    <w:rsid w:val="00004AD2"/>
    <w:rsid w:val="00006503"/>
    <w:rsid w:val="000075E6"/>
    <w:rsid w:val="00010847"/>
    <w:rsid w:val="00010E8E"/>
    <w:rsid w:val="00011233"/>
    <w:rsid w:val="000148E2"/>
    <w:rsid w:val="00017586"/>
    <w:rsid w:val="00017C7D"/>
    <w:rsid w:val="00026906"/>
    <w:rsid w:val="00026DEC"/>
    <w:rsid w:val="00027E1D"/>
    <w:rsid w:val="00030098"/>
    <w:rsid w:val="000300EB"/>
    <w:rsid w:val="0003599C"/>
    <w:rsid w:val="00041189"/>
    <w:rsid w:val="00045E00"/>
    <w:rsid w:val="000505A4"/>
    <w:rsid w:val="00050C9A"/>
    <w:rsid w:val="000514B6"/>
    <w:rsid w:val="000521FC"/>
    <w:rsid w:val="00053347"/>
    <w:rsid w:val="00054F52"/>
    <w:rsid w:val="00064132"/>
    <w:rsid w:val="0006457F"/>
    <w:rsid w:val="00071769"/>
    <w:rsid w:val="00071B6A"/>
    <w:rsid w:val="0007245F"/>
    <w:rsid w:val="00076287"/>
    <w:rsid w:val="000842DA"/>
    <w:rsid w:val="00084F70"/>
    <w:rsid w:val="000863AF"/>
    <w:rsid w:val="0009035C"/>
    <w:rsid w:val="000921D8"/>
    <w:rsid w:val="000937AB"/>
    <w:rsid w:val="00093C02"/>
    <w:rsid w:val="00094262"/>
    <w:rsid w:val="000964CA"/>
    <w:rsid w:val="000A22FD"/>
    <w:rsid w:val="000A2AF9"/>
    <w:rsid w:val="000A7A87"/>
    <w:rsid w:val="000B0FDA"/>
    <w:rsid w:val="000B3815"/>
    <w:rsid w:val="000B5B78"/>
    <w:rsid w:val="000C3A29"/>
    <w:rsid w:val="000C4E37"/>
    <w:rsid w:val="000C7865"/>
    <w:rsid w:val="000C79E3"/>
    <w:rsid w:val="000D34A7"/>
    <w:rsid w:val="000D65DB"/>
    <w:rsid w:val="000D743C"/>
    <w:rsid w:val="000D749D"/>
    <w:rsid w:val="000E0798"/>
    <w:rsid w:val="000E327F"/>
    <w:rsid w:val="000E442C"/>
    <w:rsid w:val="000E599F"/>
    <w:rsid w:val="000E601B"/>
    <w:rsid w:val="000F063D"/>
    <w:rsid w:val="000F1775"/>
    <w:rsid w:val="000F299F"/>
    <w:rsid w:val="000F5E36"/>
    <w:rsid w:val="000F7728"/>
    <w:rsid w:val="0010117B"/>
    <w:rsid w:val="00101C9F"/>
    <w:rsid w:val="00104651"/>
    <w:rsid w:val="00111C71"/>
    <w:rsid w:val="00113066"/>
    <w:rsid w:val="0011445E"/>
    <w:rsid w:val="00116432"/>
    <w:rsid w:val="00117B2D"/>
    <w:rsid w:val="00121A9A"/>
    <w:rsid w:val="00125288"/>
    <w:rsid w:val="00125975"/>
    <w:rsid w:val="00125AD5"/>
    <w:rsid w:val="001277BD"/>
    <w:rsid w:val="00131156"/>
    <w:rsid w:val="00132072"/>
    <w:rsid w:val="001377FE"/>
    <w:rsid w:val="00141077"/>
    <w:rsid w:val="00141DAF"/>
    <w:rsid w:val="00142111"/>
    <w:rsid w:val="00146A91"/>
    <w:rsid w:val="00147C28"/>
    <w:rsid w:val="00151DFB"/>
    <w:rsid w:val="00152090"/>
    <w:rsid w:val="00153849"/>
    <w:rsid w:val="001547A5"/>
    <w:rsid w:val="00156A20"/>
    <w:rsid w:val="001577BA"/>
    <w:rsid w:val="00157A4B"/>
    <w:rsid w:val="00163F89"/>
    <w:rsid w:val="00164697"/>
    <w:rsid w:val="00164D43"/>
    <w:rsid w:val="001656CB"/>
    <w:rsid w:val="00165BEB"/>
    <w:rsid w:val="00166CB6"/>
    <w:rsid w:val="00171291"/>
    <w:rsid w:val="001729ED"/>
    <w:rsid w:val="00174177"/>
    <w:rsid w:val="001762E5"/>
    <w:rsid w:val="00177487"/>
    <w:rsid w:val="00181F42"/>
    <w:rsid w:val="0018373C"/>
    <w:rsid w:val="00185502"/>
    <w:rsid w:val="0018719C"/>
    <w:rsid w:val="0019411F"/>
    <w:rsid w:val="00194732"/>
    <w:rsid w:val="00196AF1"/>
    <w:rsid w:val="001977D3"/>
    <w:rsid w:val="001A0014"/>
    <w:rsid w:val="001A00E8"/>
    <w:rsid w:val="001A3FAB"/>
    <w:rsid w:val="001A54FE"/>
    <w:rsid w:val="001A6CA1"/>
    <w:rsid w:val="001A7CE4"/>
    <w:rsid w:val="001B07CD"/>
    <w:rsid w:val="001B0CF1"/>
    <w:rsid w:val="001B4356"/>
    <w:rsid w:val="001B7FE3"/>
    <w:rsid w:val="001C1AAE"/>
    <w:rsid w:val="001C1D13"/>
    <w:rsid w:val="001C4CB2"/>
    <w:rsid w:val="001C4CD0"/>
    <w:rsid w:val="001C722F"/>
    <w:rsid w:val="001D0C1F"/>
    <w:rsid w:val="001D12F4"/>
    <w:rsid w:val="001D3018"/>
    <w:rsid w:val="001D4B43"/>
    <w:rsid w:val="001D7519"/>
    <w:rsid w:val="001E2630"/>
    <w:rsid w:val="001E2A64"/>
    <w:rsid w:val="001F62B5"/>
    <w:rsid w:val="00202FC9"/>
    <w:rsid w:val="00204315"/>
    <w:rsid w:val="002049F7"/>
    <w:rsid w:val="00205F3B"/>
    <w:rsid w:val="00210A21"/>
    <w:rsid w:val="00210F0E"/>
    <w:rsid w:val="00212329"/>
    <w:rsid w:val="00212C13"/>
    <w:rsid w:val="00214DB1"/>
    <w:rsid w:val="00216313"/>
    <w:rsid w:val="00216FB4"/>
    <w:rsid w:val="00221A34"/>
    <w:rsid w:val="00222537"/>
    <w:rsid w:val="00222CF0"/>
    <w:rsid w:val="00224267"/>
    <w:rsid w:val="0022767D"/>
    <w:rsid w:val="00230DBF"/>
    <w:rsid w:val="00232BDC"/>
    <w:rsid w:val="002340A3"/>
    <w:rsid w:val="00237136"/>
    <w:rsid w:val="00237B87"/>
    <w:rsid w:val="00240D99"/>
    <w:rsid w:val="002419D9"/>
    <w:rsid w:val="002423D5"/>
    <w:rsid w:val="002446F4"/>
    <w:rsid w:val="002449F3"/>
    <w:rsid w:val="00244DAE"/>
    <w:rsid w:val="00245F54"/>
    <w:rsid w:val="002463BD"/>
    <w:rsid w:val="0025332A"/>
    <w:rsid w:val="00253AF0"/>
    <w:rsid w:val="0026411B"/>
    <w:rsid w:val="00266B3A"/>
    <w:rsid w:val="00272DED"/>
    <w:rsid w:val="00272E26"/>
    <w:rsid w:val="00274B79"/>
    <w:rsid w:val="00275C43"/>
    <w:rsid w:val="00277724"/>
    <w:rsid w:val="002802D7"/>
    <w:rsid w:val="00281A5B"/>
    <w:rsid w:val="00286C8F"/>
    <w:rsid w:val="00290B8D"/>
    <w:rsid w:val="002928E3"/>
    <w:rsid w:val="00293F93"/>
    <w:rsid w:val="00296292"/>
    <w:rsid w:val="00296E3F"/>
    <w:rsid w:val="002A0E9B"/>
    <w:rsid w:val="002B0F82"/>
    <w:rsid w:val="002B1F09"/>
    <w:rsid w:val="002B2BE0"/>
    <w:rsid w:val="002B366C"/>
    <w:rsid w:val="002B385B"/>
    <w:rsid w:val="002B41BF"/>
    <w:rsid w:val="002B65AA"/>
    <w:rsid w:val="002C0511"/>
    <w:rsid w:val="002C0F36"/>
    <w:rsid w:val="002C1F7E"/>
    <w:rsid w:val="002C33B3"/>
    <w:rsid w:val="002C4F58"/>
    <w:rsid w:val="002D058E"/>
    <w:rsid w:val="002D09C2"/>
    <w:rsid w:val="002D250B"/>
    <w:rsid w:val="002D2591"/>
    <w:rsid w:val="002D2763"/>
    <w:rsid w:val="002D408F"/>
    <w:rsid w:val="002D5C4E"/>
    <w:rsid w:val="002D61CB"/>
    <w:rsid w:val="002D7FF6"/>
    <w:rsid w:val="002E0A9E"/>
    <w:rsid w:val="002E7581"/>
    <w:rsid w:val="002F0AC2"/>
    <w:rsid w:val="002F53BA"/>
    <w:rsid w:val="002F7AA0"/>
    <w:rsid w:val="002F7DFA"/>
    <w:rsid w:val="003030EB"/>
    <w:rsid w:val="00303279"/>
    <w:rsid w:val="0030454B"/>
    <w:rsid w:val="00305FEA"/>
    <w:rsid w:val="00311591"/>
    <w:rsid w:val="00315498"/>
    <w:rsid w:val="00315DB5"/>
    <w:rsid w:val="00316EE3"/>
    <w:rsid w:val="00323EF5"/>
    <w:rsid w:val="003240D3"/>
    <w:rsid w:val="0032473A"/>
    <w:rsid w:val="00325997"/>
    <w:rsid w:val="00325FE7"/>
    <w:rsid w:val="00330E2A"/>
    <w:rsid w:val="00333E7E"/>
    <w:rsid w:val="0033778F"/>
    <w:rsid w:val="0034198F"/>
    <w:rsid w:val="003431E3"/>
    <w:rsid w:val="003464E6"/>
    <w:rsid w:val="00346A1E"/>
    <w:rsid w:val="00346C5C"/>
    <w:rsid w:val="003509A6"/>
    <w:rsid w:val="003510DD"/>
    <w:rsid w:val="003515DF"/>
    <w:rsid w:val="00354748"/>
    <w:rsid w:val="0035682D"/>
    <w:rsid w:val="00357256"/>
    <w:rsid w:val="00361288"/>
    <w:rsid w:val="0036199B"/>
    <w:rsid w:val="00362883"/>
    <w:rsid w:val="00366233"/>
    <w:rsid w:val="00367A60"/>
    <w:rsid w:val="00371640"/>
    <w:rsid w:val="00371929"/>
    <w:rsid w:val="00372461"/>
    <w:rsid w:val="003763DA"/>
    <w:rsid w:val="003809CF"/>
    <w:rsid w:val="00381353"/>
    <w:rsid w:val="00381E04"/>
    <w:rsid w:val="003822A5"/>
    <w:rsid w:val="00382AD6"/>
    <w:rsid w:val="00383091"/>
    <w:rsid w:val="00386F85"/>
    <w:rsid w:val="00392380"/>
    <w:rsid w:val="0039310C"/>
    <w:rsid w:val="00393732"/>
    <w:rsid w:val="00393FBA"/>
    <w:rsid w:val="003A09FF"/>
    <w:rsid w:val="003A107D"/>
    <w:rsid w:val="003A2483"/>
    <w:rsid w:val="003A7CE1"/>
    <w:rsid w:val="003B0E28"/>
    <w:rsid w:val="003B291C"/>
    <w:rsid w:val="003B38FC"/>
    <w:rsid w:val="003B4E36"/>
    <w:rsid w:val="003B4F0D"/>
    <w:rsid w:val="003B59E0"/>
    <w:rsid w:val="003B5D0A"/>
    <w:rsid w:val="003B753E"/>
    <w:rsid w:val="003C2300"/>
    <w:rsid w:val="003C5666"/>
    <w:rsid w:val="003C58BE"/>
    <w:rsid w:val="003D2670"/>
    <w:rsid w:val="003D351C"/>
    <w:rsid w:val="003D4083"/>
    <w:rsid w:val="003D4515"/>
    <w:rsid w:val="003D7608"/>
    <w:rsid w:val="003E378A"/>
    <w:rsid w:val="003E3E90"/>
    <w:rsid w:val="003E4DA7"/>
    <w:rsid w:val="003E6BA9"/>
    <w:rsid w:val="003F1C99"/>
    <w:rsid w:val="0040052C"/>
    <w:rsid w:val="00400944"/>
    <w:rsid w:val="00406F2B"/>
    <w:rsid w:val="00412023"/>
    <w:rsid w:val="00420CD7"/>
    <w:rsid w:val="00424191"/>
    <w:rsid w:val="00432701"/>
    <w:rsid w:val="0043479E"/>
    <w:rsid w:val="004354CB"/>
    <w:rsid w:val="00437F70"/>
    <w:rsid w:val="00442009"/>
    <w:rsid w:val="00442BBC"/>
    <w:rsid w:val="004454AA"/>
    <w:rsid w:val="004464E5"/>
    <w:rsid w:val="00447042"/>
    <w:rsid w:val="00447F89"/>
    <w:rsid w:val="00455375"/>
    <w:rsid w:val="00457285"/>
    <w:rsid w:val="0046217E"/>
    <w:rsid w:val="0046244A"/>
    <w:rsid w:val="00472C97"/>
    <w:rsid w:val="004755D1"/>
    <w:rsid w:val="004839D5"/>
    <w:rsid w:val="004859D9"/>
    <w:rsid w:val="00486DB0"/>
    <w:rsid w:val="00487DF2"/>
    <w:rsid w:val="00491075"/>
    <w:rsid w:val="00494D89"/>
    <w:rsid w:val="00495116"/>
    <w:rsid w:val="00497652"/>
    <w:rsid w:val="004A0BF8"/>
    <w:rsid w:val="004A1400"/>
    <w:rsid w:val="004A71DB"/>
    <w:rsid w:val="004A7D9C"/>
    <w:rsid w:val="004A7E40"/>
    <w:rsid w:val="004B05AA"/>
    <w:rsid w:val="004B0B33"/>
    <w:rsid w:val="004B1E76"/>
    <w:rsid w:val="004C0C0B"/>
    <w:rsid w:val="004C30C4"/>
    <w:rsid w:val="004C467C"/>
    <w:rsid w:val="004D1416"/>
    <w:rsid w:val="004D2020"/>
    <w:rsid w:val="004D43F5"/>
    <w:rsid w:val="004D45F9"/>
    <w:rsid w:val="004D6EDB"/>
    <w:rsid w:val="004E1136"/>
    <w:rsid w:val="004E4342"/>
    <w:rsid w:val="004F01BD"/>
    <w:rsid w:val="004F282B"/>
    <w:rsid w:val="00501524"/>
    <w:rsid w:val="005026F1"/>
    <w:rsid w:val="00504933"/>
    <w:rsid w:val="0050565E"/>
    <w:rsid w:val="00513791"/>
    <w:rsid w:val="00514219"/>
    <w:rsid w:val="005154C5"/>
    <w:rsid w:val="00515CD9"/>
    <w:rsid w:val="00516941"/>
    <w:rsid w:val="00516F57"/>
    <w:rsid w:val="005172FB"/>
    <w:rsid w:val="00521F9E"/>
    <w:rsid w:val="005226F4"/>
    <w:rsid w:val="0052363A"/>
    <w:rsid w:val="00524108"/>
    <w:rsid w:val="00525DC9"/>
    <w:rsid w:val="00526549"/>
    <w:rsid w:val="00531E34"/>
    <w:rsid w:val="00533D4D"/>
    <w:rsid w:val="00540E75"/>
    <w:rsid w:val="00551152"/>
    <w:rsid w:val="00551B7C"/>
    <w:rsid w:val="00552FD4"/>
    <w:rsid w:val="00561C53"/>
    <w:rsid w:val="00562D4C"/>
    <w:rsid w:val="005634FD"/>
    <w:rsid w:val="00563623"/>
    <w:rsid w:val="0056372A"/>
    <w:rsid w:val="00570A43"/>
    <w:rsid w:val="0057112E"/>
    <w:rsid w:val="00576FEC"/>
    <w:rsid w:val="00582DD7"/>
    <w:rsid w:val="00583C1E"/>
    <w:rsid w:val="00584656"/>
    <w:rsid w:val="00584AE6"/>
    <w:rsid w:val="00585829"/>
    <w:rsid w:val="00591640"/>
    <w:rsid w:val="005919DF"/>
    <w:rsid w:val="00592254"/>
    <w:rsid w:val="00592CCF"/>
    <w:rsid w:val="0059477D"/>
    <w:rsid w:val="00594EAD"/>
    <w:rsid w:val="0059528C"/>
    <w:rsid w:val="005953D0"/>
    <w:rsid w:val="005964B2"/>
    <w:rsid w:val="005965EB"/>
    <w:rsid w:val="005A083D"/>
    <w:rsid w:val="005A0EE3"/>
    <w:rsid w:val="005A24F5"/>
    <w:rsid w:val="005A251D"/>
    <w:rsid w:val="005A5835"/>
    <w:rsid w:val="005A6105"/>
    <w:rsid w:val="005A78F7"/>
    <w:rsid w:val="005B00AB"/>
    <w:rsid w:val="005B13E5"/>
    <w:rsid w:val="005B2F49"/>
    <w:rsid w:val="005B6B1F"/>
    <w:rsid w:val="005B6B9A"/>
    <w:rsid w:val="005B6C87"/>
    <w:rsid w:val="005C1B55"/>
    <w:rsid w:val="005C1CF5"/>
    <w:rsid w:val="005C2B2D"/>
    <w:rsid w:val="005C4420"/>
    <w:rsid w:val="005C4C42"/>
    <w:rsid w:val="005C70BD"/>
    <w:rsid w:val="005D363E"/>
    <w:rsid w:val="005D7A07"/>
    <w:rsid w:val="005D7C5D"/>
    <w:rsid w:val="005E4080"/>
    <w:rsid w:val="005F06C0"/>
    <w:rsid w:val="005F11BF"/>
    <w:rsid w:val="005F3F31"/>
    <w:rsid w:val="00606DC1"/>
    <w:rsid w:val="00607548"/>
    <w:rsid w:val="0060764D"/>
    <w:rsid w:val="00607B1E"/>
    <w:rsid w:val="00612D6D"/>
    <w:rsid w:val="00615083"/>
    <w:rsid w:val="00620165"/>
    <w:rsid w:val="0062285C"/>
    <w:rsid w:val="00623F95"/>
    <w:rsid w:val="0062487B"/>
    <w:rsid w:val="00625378"/>
    <w:rsid w:val="0062540F"/>
    <w:rsid w:val="00626924"/>
    <w:rsid w:val="00634496"/>
    <w:rsid w:val="00634AEA"/>
    <w:rsid w:val="00635298"/>
    <w:rsid w:val="00635EAA"/>
    <w:rsid w:val="0064098A"/>
    <w:rsid w:val="00641E03"/>
    <w:rsid w:val="00644A75"/>
    <w:rsid w:val="00650858"/>
    <w:rsid w:val="0065539B"/>
    <w:rsid w:val="0066213F"/>
    <w:rsid w:val="00662D7D"/>
    <w:rsid w:val="00662DCF"/>
    <w:rsid w:val="00664142"/>
    <w:rsid w:val="00665B1A"/>
    <w:rsid w:val="00670083"/>
    <w:rsid w:val="00671C38"/>
    <w:rsid w:val="0067447F"/>
    <w:rsid w:val="00677080"/>
    <w:rsid w:val="00682CAA"/>
    <w:rsid w:val="00684F10"/>
    <w:rsid w:val="0068510F"/>
    <w:rsid w:val="006873ED"/>
    <w:rsid w:val="00692BB7"/>
    <w:rsid w:val="006935C9"/>
    <w:rsid w:val="00693A19"/>
    <w:rsid w:val="006A2553"/>
    <w:rsid w:val="006A3569"/>
    <w:rsid w:val="006A3DA3"/>
    <w:rsid w:val="006A52F0"/>
    <w:rsid w:val="006A61C1"/>
    <w:rsid w:val="006A7D30"/>
    <w:rsid w:val="006B1722"/>
    <w:rsid w:val="006B29D4"/>
    <w:rsid w:val="006B498D"/>
    <w:rsid w:val="006B5C7D"/>
    <w:rsid w:val="006B6578"/>
    <w:rsid w:val="006C07FD"/>
    <w:rsid w:val="006C2B5D"/>
    <w:rsid w:val="006C4A14"/>
    <w:rsid w:val="006C73AB"/>
    <w:rsid w:val="006D2896"/>
    <w:rsid w:val="006D55A3"/>
    <w:rsid w:val="006D752A"/>
    <w:rsid w:val="006E3806"/>
    <w:rsid w:val="006E614A"/>
    <w:rsid w:val="006F1728"/>
    <w:rsid w:val="006F3566"/>
    <w:rsid w:val="006F54D1"/>
    <w:rsid w:val="006F56BE"/>
    <w:rsid w:val="006F6718"/>
    <w:rsid w:val="006F784A"/>
    <w:rsid w:val="007006C6"/>
    <w:rsid w:val="007006D0"/>
    <w:rsid w:val="00701CF8"/>
    <w:rsid w:val="00705ACC"/>
    <w:rsid w:val="00710063"/>
    <w:rsid w:val="007130C6"/>
    <w:rsid w:val="007172E1"/>
    <w:rsid w:val="007179D4"/>
    <w:rsid w:val="007217AD"/>
    <w:rsid w:val="00722A40"/>
    <w:rsid w:val="00725EBC"/>
    <w:rsid w:val="00726298"/>
    <w:rsid w:val="007274FB"/>
    <w:rsid w:val="00731B5A"/>
    <w:rsid w:val="00732E81"/>
    <w:rsid w:val="00733318"/>
    <w:rsid w:val="00733D5A"/>
    <w:rsid w:val="007361E8"/>
    <w:rsid w:val="00745BFA"/>
    <w:rsid w:val="007467DE"/>
    <w:rsid w:val="007469A1"/>
    <w:rsid w:val="00747107"/>
    <w:rsid w:val="0074777C"/>
    <w:rsid w:val="00750BEE"/>
    <w:rsid w:val="00753042"/>
    <w:rsid w:val="00753B92"/>
    <w:rsid w:val="00754854"/>
    <w:rsid w:val="00757C72"/>
    <w:rsid w:val="007644B4"/>
    <w:rsid w:val="007659AD"/>
    <w:rsid w:val="0077458C"/>
    <w:rsid w:val="007759F0"/>
    <w:rsid w:val="00775ED0"/>
    <w:rsid w:val="00776515"/>
    <w:rsid w:val="0078121C"/>
    <w:rsid w:val="00781AFE"/>
    <w:rsid w:val="00785068"/>
    <w:rsid w:val="00787D53"/>
    <w:rsid w:val="007908CF"/>
    <w:rsid w:val="0079222B"/>
    <w:rsid w:val="00792542"/>
    <w:rsid w:val="007927E4"/>
    <w:rsid w:val="007938D7"/>
    <w:rsid w:val="00794035"/>
    <w:rsid w:val="00794446"/>
    <w:rsid w:val="00794C59"/>
    <w:rsid w:val="007A0011"/>
    <w:rsid w:val="007A0F07"/>
    <w:rsid w:val="007A790C"/>
    <w:rsid w:val="007B4072"/>
    <w:rsid w:val="007C3DD0"/>
    <w:rsid w:val="007C4719"/>
    <w:rsid w:val="007C53B9"/>
    <w:rsid w:val="007C7536"/>
    <w:rsid w:val="007D089F"/>
    <w:rsid w:val="007D303D"/>
    <w:rsid w:val="007D76B2"/>
    <w:rsid w:val="007D7DCA"/>
    <w:rsid w:val="007E2043"/>
    <w:rsid w:val="007E2842"/>
    <w:rsid w:val="007E671F"/>
    <w:rsid w:val="007E7B42"/>
    <w:rsid w:val="007E7D48"/>
    <w:rsid w:val="007F0F67"/>
    <w:rsid w:val="007F63A5"/>
    <w:rsid w:val="00800E9E"/>
    <w:rsid w:val="00802E84"/>
    <w:rsid w:val="008051E7"/>
    <w:rsid w:val="0081320F"/>
    <w:rsid w:val="00813E28"/>
    <w:rsid w:val="00814EA2"/>
    <w:rsid w:val="008163E1"/>
    <w:rsid w:val="008211EF"/>
    <w:rsid w:val="008216E6"/>
    <w:rsid w:val="008221FD"/>
    <w:rsid w:val="00823CE6"/>
    <w:rsid w:val="0083446A"/>
    <w:rsid w:val="0084028F"/>
    <w:rsid w:val="0084253E"/>
    <w:rsid w:val="00844535"/>
    <w:rsid w:val="00844D6E"/>
    <w:rsid w:val="0084512C"/>
    <w:rsid w:val="0084636B"/>
    <w:rsid w:val="00846739"/>
    <w:rsid w:val="00847910"/>
    <w:rsid w:val="00850D5C"/>
    <w:rsid w:val="008549E5"/>
    <w:rsid w:val="00856F1C"/>
    <w:rsid w:val="008621E6"/>
    <w:rsid w:val="0086390D"/>
    <w:rsid w:val="00865636"/>
    <w:rsid w:val="00871F78"/>
    <w:rsid w:val="008754D5"/>
    <w:rsid w:val="008758CA"/>
    <w:rsid w:val="00875EA7"/>
    <w:rsid w:val="00876560"/>
    <w:rsid w:val="00876D8C"/>
    <w:rsid w:val="0087745C"/>
    <w:rsid w:val="0088398C"/>
    <w:rsid w:val="008846F7"/>
    <w:rsid w:val="00885A0E"/>
    <w:rsid w:val="00887101"/>
    <w:rsid w:val="0088798B"/>
    <w:rsid w:val="00890D20"/>
    <w:rsid w:val="008950C3"/>
    <w:rsid w:val="00895936"/>
    <w:rsid w:val="008969B3"/>
    <w:rsid w:val="008A1EB9"/>
    <w:rsid w:val="008A2A22"/>
    <w:rsid w:val="008A2E45"/>
    <w:rsid w:val="008A6D49"/>
    <w:rsid w:val="008A7169"/>
    <w:rsid w:val="008B2818"/>
    <w:rsid w:val="008B2ACE"/>
    <w:rsid w:val="008C0249"/>
    <w:rsid w:val="008C164F"/>
    <w:rsid w:val="008C3335"/>
    <w:rsid w:val="008C5176"/>
    <w:rsid w:val="008D276A"/>
    <w:rsid w:val="008D390C"/>
    <w:rsid w:val="008D4306"/>
    <w:rsid w:val="008D558F"/>
    <w:rsid w:val="008D7A5E"/>
    <w:rsid w:val="008E44AE"/>
    <w:rsid w:val="008E4E32"/>
    <w:rsid w:val="008F3EAC"/>
    <w:rsid w:val="008F5845"/>
    <w:rsid w:val="008F5BB0"/>
    <w:rsid w:val="008F7832"/>
    <w:rsid w:val="00900D20"/>
    <w:rsid w:val="00905FC7"/>
    <w:rsid w:val="0091143F"/>
    <w:rsid w:val="0091193E"/>
    <w:rsid w:val="009157A3"/>
    <w:rsid w:val="00920141"/>
    <w:rsid w:val="009202F6"/>
    <w:rsid w:val="009217DB"/>
    <w:rsid w:val="00923A2A"/>
    <w:rsid w:val="00924D82"/>
    <w:rsid w:val="00925AFC"/>
    <w:rsid w:val="00927E40"/>
    <w:rsid w:val="009300F2"/>
    <w:rsid w:val="00934262"/>
    <w:rsid w:val="00935719"/>
    <w:rsid w:val="00937D89"/>
    <w:rsid w:val="0094170E"/>
    <w:rsid w:val="0094180F"/>
    <w:rsid w:val="00944E46"/>
    <w:rsid w:val="00945DDB"/>
    <w:rsid w:val="00946A6B"/>
    <w:rsid w:val="00951820"/>
    <w:rsid w:val="009549DC"/>
    <w:rsid w:val="00955039"/>
    <w:rsid w:val="0095697B"/>
    <w:rsid w:val="00957D9D"/>
    <w:rsid w:val="00957E6B"/>
    <w:rsid w:val="00962987"/>
    <w:rsid w:val="00964EFA"/>
    <w:rsid w:val="00966A39"/>
    <w:rsid w:val="00967118"/>
    <w:rsid w:val="0096785D"/>
    <w:rsid w:val="009717AB"/>
    <w:rsid w:val="00971850"/>
    <w:rsid w:val="00973113"/>
    <w:rsid w:val="00974FE2"/>
    <w:rsid w:val="00975E7F"/>
    <w:rsid w:val="0098183D"/>
    <w:rsid w:val="00982F18"/>
    <w:rsid w:val="00983C74"/>
    <w:rsid w:val="00985BF5"/>
    <w:rsid w:val="009914D2"/>
    <w:rsid w:val="00991896"/>
    <w:rsid w:val="00992722"/>
    <w:rsid w:val="009945C6"/>
    <w:rsid w:val="00995FD7"/>
    <w:rsid w:val="00997462"/>
    <w:rsid w:val="0099785D"/>
    <w:rsid w:val="009A04E0"/>
    <w:rsid w:val="009A2633"/>
    <w:rsid w:val="009A4752"/>
    <w:rsid w:val="009A61D8"/>
    <w:rsid w:val="009A657C"/>
    <w:rsid w:val="009A72DE"/>
    <w:rsid w:val="009A7460"/>
    <w:rsid w:val="009B0242"/>
    <w:rsid w:val="009B0973"/>
    <w:rsid w:val="009B2E27"/>
    <w:rsid w:val="009B6495"/>
    <w:rsid w:val="009B65C3"/>
    <w:rsid w:val="009C04EF"/>
    <w:rsid w:val="009C3470"/>
    <w:rsid w:val="009C4234"/>
    <w:rsid w:val="009C7F00"/>
    <w:rsid w:val="009D06F7"/>
    <w:rsid w:val="009D491C"/>
    <w:rsid w:val="009E3A4E"/>
    <w:rsid w:val="009E5AE9"/>
    <w:rsid w:val="009E78DD"/>
    <w:rsid w:val="009F0A76"/>
    <w:rsid w:val="009F41E5"/>
    <w:rsid w:val="009F4D7F"/>
    <w:rsid w:val="00A0291D"/>
    <w:rsid w:val="00A03800"/>
    <w:rsid w:val="00A06F20"/>
    <w:rsid w:val="00A06FA4"/>
    <w:rsid w:val="00A075B3"/>
    <w:rsid w:val="00A07795"/>
    <w:rsid w:val="00A10958"/>
    <w:rsid w:val="00A126D8"/>
    <w:rsid w:val="00A1415A"/>
    <w:rsid w:val="00A1634B"/>
    <w:rsid w:val="00A17DFE"/>
    <w:rsid w:val="00A2013B"/>
    <w:rsid w:val="00A20A25"/>
    <w:rsid w:val="00A24E03"/>
    <w:rsid w:val="00A2542B"/>
    <w:rsid w:val="00A25895"/>
    <w:rsid w:val="00A33102"/>
    <w:rsid w:val="00A34FE5"/>
    <w:rsid w:val="00A362A8"/>
    <w:rsid w:val="00A37560"/>
    <w:rsid w:val="00A37B7C"/>
    <w:rsid w:val="00A4226C"/>
    <w:rsid w:val="00A43B15"/>
    <w:rsid w:val="00A448E2"/>
    <w:rsid w:val="00A44AC7"/>
    <w:rsid w:val="00A44D83"/>
    <w:rsid w:val="00A45911"/>
    <w:rsid w:val="00A541F4"/>
    <w:rsid w:val="00A56AED"/>
    <w:rsid w:val="00A660BB"/>
    <w:rsid w:val="00A675C5"/>
    <w:rsid w:val="00A70741"/>
    <w:rsid w:val="00A7291D"/>
    <w:rsid w:val="00A7369E"/>
    <w:rsid w:val="00A742D9"/>
    <w:rsid w:val="00A770DC"/>
    <w:rsid w:val="00A804A4"/>
    <w:rsid w:val="00A835C3"/>
    <w:rsid w:val="00A86662"/>
    <w:rsid w:val="00A91A36"/>
    <w:rsid w:val="00A92893"/>
    <w:rsid w:val="00A97E9E"/>
    <w:rsid w:val="00AA2A29"/>
    <w:rsid w:val="00AA3271"/>
    <w:rsid w:val="00AA4A77"/>
    <w:rsid w:val="00AB07C0"/>
    <w:rsid w:val="00AB201A"/>
    <w:rsid w:val="00AB4EDF"/>
    <w:rsid w:val="00AB5B96"/>
    <w:rsid w:val="00AC5298"/>
    <w:rsid w:val="00AC5D87"/>
    <w:rsid w:val="00AC7351"/>
    <w:rsid w:val="00AC7727"/>
    <w:rsid w:val="00AC7B15"/>
    <w:rsid w:val="00AD48A7"/>
    <w:rsid w:val="00AD5A15"/>
    <w:rsid w:val="00AE368A"/>
    <w:rsid w:val="00AE62A0"/>
    <w:rsid w:val="00AE7CE4"/>
    <w:rsid w:val="00AF1A61"/>
    <w:rsid w:val="00B02233"/>
    <w:rsid w:val="00B03739"/>
    <w:rsid w:val="00B03B75"/>
    <w:rsid w:val="00B100F7"/>
    <w:rsid w:val="00B10904"/>
    <w:rsid w:val="00B13FC0"/>
    <w:rsid w:val="00B1415C"/>
    <w:rsid w:val="00B14E26"/>
    <w:rsid w:val="00B209E6"/>
    <w:rsid w:val="00B20CC5"/>
    <w:rsid w:val="00B2161C"/>
    <w:rsid w:val="00B24319"/>
    <w:rsid w:val="00B25AD0"/>
    <w:rsid w:val="00B26DDF"/>
    <w:rsid w:val="00B279B9"/>
    <w:rsid w:val="00B320E6"/>
    <w:rsid w:val="00B3406E"/>
    <w:rsid w:val="00B3436E"/>
    <w:rsid w:val="00B353C1"/>
    <w:rsid w:val="00B3689A"/>
    <w:rsid w:val="00B36FE1"/>
    <w:rsid w:val="00B37523"/>
    <w:rsid w:val="00B43ED5"/>
    <w:rsid w:val="00B463DF"/>
    <w:rsid w:val="00B47F7B"/>
    <w:rsid w:val="00B5234E"/>
    <w:rsid w:val="00B55429"/>
    <w:rsid w:val="00B55E0B"/>
    <w:rsid w:val="00B57F5C"/>
    <w:rsid w:val="00B6186D"/>
    <w:rsid w:val="00B65791"/>
    <w:rsid w:val="00B67C33"/>
    <w:rsid w:val="00B70BA1"/>
    <w:rsid w:val="00B71809"/>
    <w:rsid w:val="00B724AD"/>
    <w:rsid w:val="00B769AF"/>
    <w:rsid w:val="00B7786E"/>
    <w:rsid w:val="00B81EAA"/>
    <w:rsid w:val="00B84E61"/>
    <w:rsid w:val="00B852FF"/>
    <w:rsid w:val="00B858A9"/>
    <w:rsid w:val="00B9608E"/>
    <w:rsid w:val="00BA0022"/>
    <w:rsid w:val="00BA091F"/>
    <w:rsid w:val="00BA623B"/>
    <w:rsid w:val="00BA7BEE"/>
    <w:rsid w:val="00BB0F37"/>
    <w:rsid w:val="00BB3D0A"/>
    <w:rsid w:val="00BB4BC0"/>
    <w:rsid w:val="00BC1B3A"/>
    <w:rsid w:val="00BC2565"/>
    <w:rsid w:val="00BC6144"/>
    <w:rsid w:val="00BC7C50"/>
    <w:rsid w:val="00BD37D8"/>
    <w:rsid w:val="00BE04F0"/>
    <w:rsid w:val="00BE0E4D"/>
    <w:rsid w:val="00BE2436"/>
    <w:rsid w:val="00BE433D"/>
    <w:rsid w:val="00BE61F6"/>
    <w:rsid w:val="00BE794A"/>
    <w:rsid w:val="00BF11FE"/>
    <w:rsid w:val="00BF206A"/>
    <w:rsid w:val="00BF659C"/>
    <w:rsid w:val="00BF7A15"/>
    <w:rsid w:val="00C00B2C"/>
    <w:rsid w:val="00C0374B"/>
    <w:rsid w:val="00C05911"/>
    <w:rsid w:val="00C05C80"/>
    <w:rsid w:val="00C05E10"/>
    <w:rsid w:val="00C11732"/>
    <w:rsid w:val="00C12568"/>
    <w:rsid w:val="00C16037"/>
    <w:rsid w:val="00C17EFF"/>
    <w:rsid w:val="00C21BA4"/>
    <w:rsid w:val="00C21DC6"/>
    <w:rsid w:val="00C2239D"/>
    <w:rsid w:val="00C229CD"/>
    <w:rsid w:val="00C22D2D"/>
    <w:rsid w:val="00C24768"/>
    <w:rsid w:val="00C259BC"/>
    <w:rsid w:val="00C265D6"/>
    <w:rsid w:val="00C3199B"/>
    <w:rsid w:val="00C32F5F"/>
    <w:rsid w:val="00C35BFF"/>
    <w:rsid w:val="00C36DD4"/>
    <w:rsid w:val="00C4005E"/>
    <w:rsid w:val="00C4398D"/>
    <w:rsid w:val="00C4477C"/>
    <w:rsid w:val="00C45796"/>
    <w:rsid w:val="00C459C2"/>
    <w:rsid w:val="00C466BF"/>
    <w:rsid w:val="00C53C54"/>
    <w:rsid w:val="00C53F30"/>
    <w:rsid w:val="00C5443A"/>
    <w:rsid w:val="00C553AE"/>
    <w:rsid w:val="00C55D07"/>
    <w:rsid w:val="00C569A0"/>
    <w:rsid w:val="00C5727B"/>
    <w:rsid w:val="00C57902"/>
    <w:rsid w:val="00C57E77"/>
    <w:rsid w:val="00C71064"/>
    <w:rsid w:val="00C7249B"/>
    <w:rsid w:val="00C74941"/>
    <w:rsid w:val="00C77808"/>
    <w:rsid w:val="00C833EC"/>
    <w:rsid w:val="00C84255"/>
    <w:rsid w:val="00C8553A"/>
    <w:rsid w:val="00C86E3E"/>
    <w:rsid w:val="00C8771C"/>
    <w:rsid w:val="00C9211A"/>
    <w:rsid w:val="00C92531"/>
    <w:rsid w:val="00C92D1B"/>
    <w:rsid w:val="00C93775"/>
    <w:rsid w:val="00CA0C64"/>
    <w:rsid w:val="00CA1620"/>
    <w:rsid w:val="00CB035C"/>
    <w:rsid w:val="00CB1E7F"/>
    <w:rsid w:val="00CB3A92"/>
    <w:rsid w:val="00CB3AE9"/>
    <w:rsid w:val="00CB3F21"/>
    <w:rsid w:val="00CB4159"/>
    <w:rsid w:val="00CB4ACE"/>
    <w:rsid w:val="00CB7576"/>
    <w:rsid w:val="00CC2561"/>
    <w:rsid w:val="00CC317E"/>
    <w:rsid w:val="00CC3B62"/>
    <w:rsid w:val="00CC4C52"/>
    <w:rsid w:val="00CC71A1"/>
    <w:rsid w:val="00CD26ED"/>
    <w:rsid w:val="00CD3725"/>
    <w:rsid w:val="00CD4D1F"/>
    <w:rsid w:val="00CD7882"/>
    <w:rsid w:val="00CE535C"/>
    <w:rsid w:val="00CF035F"/>
    <w:rsid w:val="00CF1929"/>
    <w:rsid w:val="00CF1A02"/>
    <w:rsid w:val="00CF549A"/>
    <w:rsid w:val="00CF5621"/>
    <w:rsid w:val="00CF7E00"/>
    <w:rsid w:val="00D00FC5"/>
    <w:rsid w:val="00D0191D"/>
    <w:rsid w:val="00D01990"/>
    <w:rsid w:val="00D01F8B"/>
    <w:rsid w:val="00D0221B"/>
    <w:rsid w:val="00D056F0"/>
    <w:rsid w:val="00D129FE"/>
    <w:rsid w:val="00D12F21"/>
    <w:rsid w:val="00D132D6"/>
    <w:rsid w:val="00D15BCB"/>
    <w:rsid w:val="00D16111"/>
    <w:rsid w:val="00D21F74"/>
    <w:rsid w:val="00D24702"/>
    <w:rsid w:val="00D25FBF"/>
    <w:rsid w:val="00D3067B"/>
    <w:rsid w:val="00D40D4C"/>
    <w:rsid w:val="00D422E8"/>
    <w:rsid w:val="00D427AD"/>
    <w:rsid w:val="00D45132"/>
    <w:rsid w:val="00D45951"/>
    <w:rsid w:val="00D459A7"/>
    <w:rsid w:val="00D46050"/>
    <w:rsid w:val="00D464F9"/>
    <w:rsid w:val="00D4789D"/>
    <w:rsid w:val="00D50590"/>
    <w:rsid w:val="00D50B6C"/>
    <w:rsid w:val="00D60436"/>
    <w:rsid w:val="00D62390"/>
    <w:rsid w:val="00D651A2"/>
    <w:rsid w:val="00D72F05"/>
    <w:rsid w:val="00D72FDB"/>
    <w:rsid w:val="00D806EA"/>
    <w:rsid w:val="00D80964"/>
    <w:rsid w:val="00D83994"/>
    <w:rsid w:val="00D87518"/>
    <w:rsid w:val="00D92EB9"/>
    <w:rsid w:val="00D950BD"/>
    <w:rsid w:val="00D9705C"/>
    <w:rsid w:val="00DA0366"/>
    <w:rsid w:val="00DA078C"/>
    <w:rsid w:val="00DA1EEA"/>
    <w:rsid w:val="00DA5D10"/>
    <w:rsid w:val="00DA6F60"/>
    <w:rsid w:val="00DA71BA"/>
    <w:rsid w:val="00DB6F06"/>
    <w:rsid w:val="00DC0C91"/>
    <w:rsid w:val="00DC37FE"/>
    <w:rsid w:val="00DC3CC3"/>
    <w:rsid w:val="00DC3F1A"/>
    <w:rsid w:val="00DC4172"/>
    <w:rsid w:val="00DC63AF"/>
    <w:rsid w:val="00DD4276"/>
    <w:rsid w:val="00DE0D7B"/>
    <w:rsid w:val="00DE23B3"/>
    <w:rsid w:val="00DE355C"/>
    <w:rsid w:val="00DE3B93"/>
    <w:rsid w:val="00DE4467"/>
    <w:rsid w:val="00DE6EAE"/>
    <w:rsid w:val="00DE704C"/>
    <w:rsid w:val="00DE77D9"/>
    <w:rsid w:val="00DF2F1E"/>
    <w:rsid w:val="00DF7D8B"/>
    <w:rsid w:val="00E02310"/>
    <w:rsid w:val="00E02F18"/>
    <w:rsid w:val="00E0304E"/>
    <w:rsid w:val="00E03CDA"/>
    <w:rsid w:val="00E03E82"/>
    <w:rsid w:val="00E047D8"/>
    <w:rsid w:val="00E04F61"/>
    <w:rsid w:val="00E13683"/>
    <w:rsid w:val="00E16907"/>
    <w:rsid w:val="00E16F9A"/>
    <w:rsid w:val="00E222CF"/>
    <w:rsid w:val="00E224E4"/>
    <w:rsid w:val="00E230FE"/>
    <w:rsid w:val="00E24ED2"/>
    <w:rsid w:val="00E25AEE"/>
    <w:rsid w:val="00E261D6"/>
    <w:rsid w:val="00E30319"/>
    <w:rsid w:val="00E358FA"/>
    <w:rsid w:val="00E3795F"/>
    <w:rsid w:val="00E40C06"/>
    <w:rsid w:val="00E41DBF"/>
    <w:rsid w:val="00E433D5"/>
    <w:rsid w:val="00E447AB"/>
    <w:rsid w:val="00E47E36"/>
    <w:rsid w:val="00E5153A"/>
    <w:rsid w:val="00E52FA1"/>
    <w:rsid w:val="00E5518A"/>
    <w:rsid w:val="00E560C4"/>
    <w:rsid w:val="00E561D7"/>
    <w:rsid w:val="00E60381"/>
    <w:rsid w:val="00E6507C"/>
    <w:rsid w:val="00E65B27"/>
    <w:rsid w:val="00E660BA"/>
    <w:rsid w:val="00E7595D"/>
    <w:rsid w:val="00E75B13"/>
    <w:rsid w:val="00E76227"/>
    <w:rsid w:val="00E83B12"/>
    <w:rsid w:val="00E907ED"/>
    <w:rsid w:val="00E90E60"/>
    <w:rsid w:val="00E91A8E"/>
    <w:rsid w:val="00E945D4"/>
    <w:rsid w:val="00E94791"/>
    <w:rsid w:val="00E949F6"/>
    <w:rsid w:val="00EA06DD"/>
    <w:rsid w:val="00EA14E7"/>
    <w:rsid w:val="00EA258F"/>
    <w:rsid w:val="00EA2712"/>
    <w:rsid w:val="00EA2996"/>
    <w:rsid w:val="00EA2A26"/>
    <w:rsid w:val="00EA2E46"/>
    <w:rsid w:val="00EA31DB"/>
    <w:rsid w:val="00EA6D87"/>
    <w:rsid w:val="00EB24DD"/>
    <w:rsid w:val="00EB3352"/>
    <w:rsid w:val="00EB6C09"/>
    <w:rsid w:val="00EB7476"/>
    <w:rsid w:val="00EC08C6"/>
    <w:rsid w:val="00EC5135"/>
    <w:rsid w:val="00EC7E6E"/>
    <w:rsid w:val="00ED026F"/>
    <w:rsid w:val="00ED04C3"/>
    <w:rsid w:val="00ED143E"/>
    <w:rsid w:val="00ED2A02"/>
    <w:rsid w:val="00EE1BFA"/>
    <w:rsid w:val="00EE2D06"/>
    <w:rsid w:val="00EE3694"/>
    <w:rsid w:val="00EE5376"/>
    <w:rsid w:val="00EF040D"/>
    <w:rsid w:val="00EF1C07"/>
    <w:rsid w:val="00EF2029"/>
    <w:rsid w:val="00EF59CA"/>
    <w:rsid w:val="00EF65D4"/>
    <w:rsid w:val="00EF7CA6"/>
    <w:rsid w:val="00F00098"/>
    <w:rsid w:val="00F01B63"/>
    <w:rsid w:val="00F01FF7"/>
    <w:rsid w:val="00F02557"/>
    <w:rsid w:val="00F03676"/>
    <w:rsid w:val="00F07200"/>
    <w:rsid w:val="00F105C8"/>
    <w:rsid w:val="00F111CE"/>
    <w:rsid w:val="00F1275F"/>
    <w:rsid w:val="00F130EB"/>
    <w:rsid w:val="00F13813"/>
    <w:rsid w:val="00F13A9E"/>
    <w:rsid w:val="00F203C5"/>
    <w:rsid w:val="00F23281"/>
    <w:rsid w:val="00F25DAD"/>
    <w:rsid w:val="00F27098"/>
    <w:rsid w:val="00F3085D"/>
    <w:rsid w:val="00F32497"/>
    <w:rsid w:val="00F33A75"/>
    <w:rsid w:val="00F341C2"/>
    <w:rsid w:val="00F35084"/>
    <w:rsid w:val="00F42D45"/>
    <w:rsid w:val="00F45E3D"/>
    <w:rsid w:val="00F47934"/>
    <w:rsid w:val="00F51CE8"/>
    <w:rsid w:val="00F52F31"/>
    <w:rsid w:val="00F5542E"/>
    <w:rsid w:val="00F55544"/>
    <w:rsid w:val="00F56FBD"/>
    <w:rsid w:val="00F5713C"/>
    <w:rsid w:val="00F57B53"/>
    <w:rsid w:val="00F601D7"/>
    <w:rsid w:val="00F674E6"/>
    <w:rsid w:val="00F7002F"/>
    <w:rsid w:val="00F72FAA"/>
    <w:rsid w:val="00F739C4"/>
    <w:rsid w:val="00F816CC"/>
    <w:rsid w:val="00F81A5C"/>
    <w:rsid w:val="00F90FAE"/>
    <w:rsid w:val="00F93AFE"/>
    <w:rsid w:val="00F95BAF"/>
    <w:rsid w:val="00F95E92"/>
    <w:rsid w:val="00F96707"/>
    <w:rsid w:val="00FA1DFA"/>
    <w:rsid w:val="00FA5796"/>
    <w:rsid w:val="00FB091F"/>
    <w:rsid w:val="00FB1943"/>
    <w:rsid w:val="00FB44B3"/>
    <w:rsid w:val="00FC6CB1"/>
    <w:rsid w:val="00FC726A"/>
    <w:rsid w:val="00FC7718"/>
    <w:rsid w:val="00FD2807"/>
    <w:rsid w:val="00FD3BEB"/>
    <w:rsid w:val="00FD3E4E"/>
    <w:rsid w:val="00FD5EE3"/>
    <w:rsid w:val="00FD629B"/>
    <w:rsid w:val="00FD6DB0"/>
    <w:rsid w:val="00FD6E15"/>
    <w:rsid w:val="00FE3BA9"/>
    <w:rsid w:val="00FE403D"/>
    <w:rsid w:val="00FF0B9E"/>
    <w:rsid w:val="00FF49AE"/>
    <w:rsid w:val="00FF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31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28F"/>
    <w:pPr>
      <w:keepNext/>
      <w:keepLines/>
      <w:spacing w:before="480"/>
      <w:jc w:val="center"/>
      <w:outlineLvl w:val="0"/>
    </w:pPr>
    <w:rPr>
      <w:rFonts w:ascii="Times New Roman" w:eastAsiaTheme="majorEastAsia" w:hAnsi="Times New Roman" w:cstheme="majorBidi"/>
      <w:b/>
      <w:bCs/>
      <w:color w:val="000000" w:themeColor="text1"/>
      <w:sz w:val="28"/>
      <w:szCs w:val="32"/>
      <w:u w:val="single"/>
    </w:rPr>
  </w:style>
  <w:style w:type="paragraph" w:styleId="Heading2">
    <w:name w:val="heading 2"/>
    <w:basedOn w:val="Normal"/>
    <w:next w:val="Normal"/>
    <w:link w:val="Heading2Char"/>
    <w:uiPriority w:val="9"/>
    <w:semiHidden/>
    <w:unhideWhenUsed/>
    <w:qFormat/>
    <w:rsid w:val="0084028F"/>
    <w:pPr>
      <w:keepNext/>
      <w:keepLines/>
      <w:spacing w:before="200"/>
      <w:outlineLvl w:val="1"/>
    </w:pPr>
    <w:rPr>
      <w:rFonts w:ascii="Times New Roman" w:eastAsiaTheme="majorEastAsia" w:hAnsi="Times New Roman" w:cstheme="majorBidi"/>
      <w:b/>
      <w:bCs/>
      <w:color w:val="000000" w:themeColor="text1"/>
      <w:sz w:val="28"/>
      <w:szCs w:val="26"/>
      <w:u w:val="single"/>
    </w:rPr>
  </w:style>
  <w:style w:type="paragraph" w:styleId="Heading3">
    <w:name w:val="heading 3"/>
    <w:basedOn w:val="Normal"/>
    <w:next w:val="Normal"/>
    <w:link w:val="Heading3Char"/>
    <w:uiPriority w:val="9"/>
    <w:unhideWhenUsed/>
    <w:qFormat/>
    <w:rsid w:val="0084028F"/>
    <w:pPr>
      <w:keepNext/>
      <w:keepLines/>
      <w:numPr>
        <w:numId w:val="10"/>
      </w:numPr>
      <w:spacing w:before="200"/>
      <w:ind w:left="180" w:hanging="180"/>
      <w:outlineLvl w:val="2"/>
    </w:pPr>
    <w:rPr>
      <w:rFonts w:ascii="Times New Roman" w:eastAsiaTheme="majorEastAsia" w:hAnsi="Times New Roman" w:cstheme="majorBidi"/>
      <w:b/>
      <w:bCs/>
      <w:color w:val="000000" w:themeColor="text1"/>
      <w:sz w:val="28"/>
    </w:rPr>
  </w:style>
  <w:style w:type="paragraph" w:styleId="Heading4">
    <w:name w:val="heading 4"/>
    <w:basedOn w:val="Normal"/>
    <w:next w:val="Normal"/>
    <w:link w:val="Heading4Char"/>
    <w:uiPriority w:val="9"/>
    <w:unhideWhenUsed/>
    <w:qFormat/>
    <w:rsid w:val="0084028F"/>
    <w:pPr>
      <w:keepNext/>
      <w:keepLines/>
      <w:numPr>
        <w:numId w:val="11"/>
      </w:numPr>
      <w:spacing w:before="200"/>
      <w:ind w:left="1080"/>
      <w:outlineLvl w:val="3"/>
    </w:pPr>
    <w:rPr>
      <w:rFonts w:ascii="Times New Roman" w:eastAsiaTheme="majorEastAsia" w:hAnsi="Times New Roman" w:cstheme="majorBidi"/>
      <w:b/>
      <w:bCs/>
      <w:iCs/>
      <w:color w:val="000000" w:themeColor="text1"/>
      <w:sz w:val="28"/>
    </w:rPr>
  </w:style>
  <w:style w:type="paragraph" w:styleId="Heading5">
    <w:name w:val="heading 5"/>
    <w:basedOn w:val="Normal"/>
    <w:next w:val="Normal"/>
    <w:link w:val="Heading5Char"/>
    <w:uiPriority w:val="9"/>
    <w:semiHidden/>
    <w:unhideWhenUsed/>
    <w:qFormat/>
    <w:rsid w:val="0084028F"/>
    <w:pPr>
      <w:keepNext/>
      <w:keepLines/>
      <w:numPr>
        <w:numId w:val="12"/>
      </w:numPr>
      <w:spacing w:before="200"/>
      <w:outlineLvl w:val="4"/>
    </w:pPr>
    <w:rPr>
      <w:rFonts w:ascii="Times New Roman" w:eastAsiaTheme="majorEastAsia" w:hAnsi="Times New Roman" w:cstheme="majorBidi"/>
      <w:color w:val="000000" w:themeColor="text1"/>
      <w:sz w:val="28"/>
      <w:u w:val="single"/>
    </w:rPr>
  </w:style>
  <w:style w:type="paragraph" w:styleId="Heading6">
    <w:name w:val="heading 6"/>
    <w:basedOn w:val="Normal"/>
    <w:next w:val="Normal"/>
    <w:link w:val="Heading6Char"/>
    <w:uiPriority w:val="9"/>
    <w:unhideWhenUsed/>
    <w:qFormat/>
    <w:rsid w:val="0084028F"/>
    <w:pPr>
      <w:keepNext/>
      <w:keepLines/>
      <w:numPr>
        <w:numId w:val="13"/>
      </w:numPr>
      <w:spacing w:before="200"/>
      <w:ind w:left="2520"/>
      <w:outlineLvl w:val="5"/>
    </w:pPr>
    <w:rPr>
      <w:rFonts w:ascii="Times New Roman" w:eastAsiaTheme="majorEastAsia" w:hAnsi="Times New Roman" w:cstheme="majorBidi"/>
      <w:i/>
      <w:iCs/>
      <w:color w:val="000000" w:themeColor="text1"/>
      <w:sz w:val="28"/>
    </w:rPr>
  </w:style>
  <w:style w:type="paragraph" w:styleId="Heading7">
    <w:name w:val="heading 7"/>
    <w:basedOn w:val="Normal"/>
    <w:next w:val="Normal"/>
    <w:link w:val="Heading7Char"/>
    <w:uiPriority w:val="9"/>
    <w:semiHidden/>
    <w:unhideWhenUsed/>
    <w:qFormat/>
    <w:rsid w:val="0084028F"/>
    <w:pPr>
      <w:keepNext/>
      <w:keepLines/>
      <w:numPr>
        <w:numId w:val="14"/>
      </w:numPr>
      <w:ind w:left="1800"/>
      <w:outlineLvl w:val="6"/>
    </w:pPr>
    <w:rPr>
      <w:rFonts w:ascii="Times New Roman" w:eastAsiaTheme="majorEastAsia" w:hAnsi="Times New Roman" w:cstheme="majorBidi"/>
      <w:b/>
      <w:iCs/>
      <w:color w:val="404040" w:themeColor="text1" w:themeTint="BF"/>
      <w:sz w:val="28"/>
    </w:rPr>
  </w:style>
  <w:style w:type="paragraph" w:styleId="Heading8">
    <w:name w:val="heading 8"/>
    <w:basedOn w:val="Normal"/>
    <w:next w:val="Normal"/>
    <w:link w:val="Heading8Char"/>
    <w:uiPriority w:val="9"/>
    <w:semiHidden/>
    <w:unhideWhenUsed/>
    <w:qFormat/>
    <w:rsid w:val="0084028F"/>
    <w:pPr>
      <w:keepNext/>
      <w:keepLines/>
      <w:numPr>
        <w:numId w:val="15"/>
      </w:numPr>
      <w:ind w:left="1800"/>
      <w:outlineLvl w:val="7"/>
    </w:pPr>
    <w:rPr>
      <w:rFonts w:ascii="Times New Roman" w:eastAsiaTheme="majorEastAsia" w:hAnsi="Times New Roman" w:cstheme="majorBidi"/>
      <w:color w:val="000000" w:themeColor="text1"/>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8F"/>
    <w:rPr>
      <w:rFonts w:ascii="Times New Roman" w:eastAsiaTheme="majorEastAsia" w:hAnsi="Times New Roman" w:cstheme="majorBidi"/>
      <w:b/>
      <w:bCs/>
      <w:color w:val="000000" w:themeColor="text1"/>
      <w:sz w:val="28"/>
      <w:szCs w:val="32"/>
      <w:u w:val="single"/>
    </w:rPr>
  </w:style>
  <w:style w:type="character" w:customStyle="1" w:styleId="Heading3Char">
    <w:name w:val="Heading 3 Char"/>
    <w:basedOn w:val="DefaultParagraphFont"/>
    <w:link w:val="Heading3"/>
    <w:uiPriority w:val="9"/>
    <w:rsid w:val="0084028F"/>
    <w:rPr>
      <w:rFonts w:ascii="Times New Roman" w:eastAsiaTheme="majorEastAsia" w:hAnsi="Times New Roman" w:cstheme="majorBidi"/>
      <w:b/>
      <w:bCs/>
      <w:color w:val="000000" w:themeColor="text1"/>
      <w:sz w:val="28"/>
    </w:rPr>
  </w:style>
  <w:style w:type="character" w:customStyle="1" w:styleId="Heading2Char">
    <w:name w:val="Heading 2 Char"/>
    <w:basedOn w:val="DefaultParagraphFont"/>
    <w:link w:val="Heading2"/>
    <w:uiPriority w:val="9"/>
    <w:semiHidden/>
    <w:rsid w:val="0084028F"/>
    <w:rPr>
      <w:rFonts w:ascii="Times New Roman" w:eastAsiaTheme="majorEastAsia" w:hAnsi="Times New Roman" w:cstheme="majorBidi"/>
      <w:b/>
      <w:bCs/>
      <w:color w:val="000000" w:themeColor="text1"/>
      <w:sz w:val="28"/>
      <w:szCs w:val="26"/>
      <w:u w:val="single"/>
    </w:rPr>
  </w:style>
  <w:style w:type="character" w:customStyle="1" w:styleId="Heading4Char">
    <w:name w:val="Heading 4 Char"/>
    <w:basedOn w:val="DefaultParagraphFont"/>
    <w:link w:val="Heading4"/>
    <w:uiPriority w:val="9"/>
    <w:rsid w:val="0084028F"/>
    <w:rPr>
      <w:rFonts w:ascii="Times New Roman" w:eastAsiaTheme="majorEastAsia" w:hAnsi="Times New Roman" w:cstheme="majorBidi"/>
      <w:b/>
      <w:bCs/>
      <w:iCs/>
      <w:color w:val="000000" w:themeColor="text1"/>
      <w:sz w:val="28"/>
    </w:rPr>
  </w:style>
  <w:style w:type="character" w:customStyle="1" w:styleId="Heading5Char">
    <w:name w:val="Heading 5 Char"/>
    <w:basedOn w:val="DefaultParagraphFont"/>
    <w:link w:val="Heading5"/>
    <w:uiPriority w:val="9"/>
    <w:semiHidden/>
    <w:rsid w:val="0084028F"/>
    <w:rPr>
      <w:rFonts w:ascii="Times New Roman" w:eastAsiaTheme="majorEastAsia" w:hAnsi="Times New Roman" w:cstheme="majorBidi"/>
      <w:color w:val="000000" w:themeColor="text1"/>
      <w:sz w:val="28"/>
      <w:u w:val="single"/>
    </w:rPr>
  </w:style>
  <w:style w:type="character" w:customStyle="1" w:styleId="Heading6Char">
    <w:name w:val="Heading 6 Char"/>
    <w:basedOn w:val="DefaultParagraphFont"/>
    <w:link w:val="Heading6"/>
    <w:uiPriority w:val="9"/>
    <w:rsid w:val="0084028F"/>
    <w:rPr>
      <w:rFonts w:ascii="Times New Roman" w:eastAsiaTheme="majorEastAsia" w:hAnsi="Times New Roman" w:cstheme="majorBidi"/>
      <w:i/>
      <w:iCs/>
      <w:color w:val="000000" w:themeColor="text1"/>
      <w:sz w:val="28"/>
    </w:rPr>
  </w:style>
  <w:style w:type="character" w:customStyle="1" w:styleId="Heading7Char">
    <w:name w:val="Heading 7 Char"/>
    <w:basedOn w:val="DefaultParagraphFont"/>
    <w:link w:val="Heading7"/>
    <w:uiPriority w:val="9"/>
    <w:semiHidden/>
    <w:rsid w:val="0084028F"/>
    <w:rPr>
      <w:rFonts w:ascii="Times New Roman" w:eastAsiaTheme="majorEastAsia" w:hAnsi="Times New Roman" w:cstheme="majorBidi"/>
      <w:b/>
      <w:iCs/>
      <w:color w:val="404040" w:themeColor="text1" w:themeTint="BF"/>
      <w:sz w:val="28"/>
    </w:rPr>
  </w:style>
  <w:style w:type="character" w:customStyle="1" w:styleId="Heading8Char">
    <w:name w:val="Heading 8 Char"/>
    <w:basedOn w:val="DefaultParagraphFont"/>
    <w:link w:val="Heading8"/>
    <w:uiPriority w:val="9"/>
    <w:semiHidden/>
    <w:rsid w:val="0084028F"/>
    <w:rPr>
      <w:rFonts w:ascii="Times New Roman" w:eastAsiaTheme="majorEastAsia" w:hAnsi="Times New Roman" w:cstheme="majorBidi"/>
      <w:color w:val="000000" w:themeColor="text1"/>
      <w:sz w:val="28"/>
      <w:szCs w:val="20"/>
      <w:u w:val="single"/>
    </w:rPr>
  </w:style>
  <w:style w:type="paragraph" w:styleId="FootnoteText">
    <w:name w:val="footnote text"/>
    <w:basedOn w:val="Normal"/>
    <w:link w:val="FootnoteTextChar"/>
    <w:uiPriority w:val="99"/>
    <w:unhideWhenUsed/>
    <w:rsid w:val="00606DC1"/>
  </w:style>
  <w:style w:type="character" w:customStyle="1" w:styleId="FootnoteTextChar">
    <w:name w:val="Footnote Text Char"/>
    <w:basedOn w:val="DefaultParagraphFont"/>
    <w:link w:val="FootnoteText"/>
    <w:uiPriority w:val="99"/>
    <w:rsid w:val="00606DC1"/>
  </w:style>
  <w:style w:type="character" w:styleId="FootnoteReference">
    <w:name w:val="footnote reference"/>
    <w:basedOn w:val="DefaultParagraphFont"/>
    <w:uiPriority w:val="99"/>
    <w:unhideWhenUsed/>
    <w:rsid w:val="00606DC1"/>
    <w:rPr>
      <w:vertAlign w:val="superscript"/>
    </w:rPr>
  </w:style>
  <w:style w:type="paragraph" w:styleId="Footer">
    <w:name w:val="footer"/>
    <w:basedOn w:val="Normal"/>
    <w:link w:val="FooterChar"/>
    <w:uiPriority w:val="99"/>
    <w:unhideWhenUsed/>
    <w:rsid w:val="00844535"/>
    <w:pPr>
      <w:tabs>
        <w:tab w:val="center" w:pos="4320"/>
        <w:tab w:val="right" w:pos="8640"/>
      </w:tabs>
    </w:pPr>
  </w:style>
  <w:style w:type="character" w:customStyle="1" w:styleId="FooterChar">
    <w:name w:val="Footer Char"/>
    <w:basedOn w:val="DefaultParagraphFont"/>
    <w:link w:val="Footer"/>
    <w:uiPriority w:val="99"/>
    <w:rsid w:val="00844535"/>
  </w:style>
  <w:style w:type="character" w:styleId="PageNumber">
    <w:name w:val="page number"/>
    <w:basedOn w:val="DefaultParagraphFont"/>
    <w:uiPriority w:val="99"/>
    <w:semiHidden/>
    <w:unhideWhenUsed/>
    <w:rsid w:val="00844535"/>
  </w:style>
  <w:style w:type="character" w:styleId="Hyperlink">
    <w:name w:val="Hyperlink"/>
    <w:basedOn w:val="DefaultParagraphFont"/>
    <w:uiPriority w:val="99"/>
    <w:unhideWhenUsed/>
    <w:rsid w:val="004A7E40"/>
    <w:rPr>
      <w:color w:val="0000FF" w:themeColor="hyperlink"/>
      <w:u w:val="single"/>
    </w:rPr>
  </w:style>
  <w:style w:type="paragraph" w:styleId="Header">
    <w:name w:val="header"/>
    <w:basedOn w:val="Normal"/>
    <w:link w:val="HeaderChar"/>
    <w:uiPriority w:val="99"/>
    <w:unhideWhenUsed/>
    <w:rsid w:val="00361288"/>
    <w:pPr>
      <w:tabs>
        <w:tab w:val="center" w:pos="4320"/>
        <w:tab w:val="right" w:pos="8640"/>
      </w:tabs>
    </w:pPr>
  </w:style>
  <w:style w:type="character" w:customStyle="1" w:styleId="HeaderChar">
    <w:name w:val="Header Char"/>
    <w:basedOn w:val="DefaultParagraphFont"/>
    <w:link w:val="Header"/>
    <w:uiPriority w:val="99"/>
    <w:rsid w:val="00361288"/>
  </w:style>
  <w:style w:type="paragraph" w:styleId="NormalWeb">
    <w:name w:val="Normal (Web)"/>
    <w:basedOn w:val="Normal"/>
    <w:uiPriority w:val="99"/>
    <w:unhideWhenUsed/>
    <w:rsid w:val="00F816CC"/>
    <w:pPr>
      <w:spacing w:before="100" w:beforeAutospacing="1" w:after="100" w:afterAutospacing="1"/>
    </w:pPr>
    <w:rPr>
      <w:rFonts w:cs="Times New Roman"/>
      <w:sz w:val="20"/>
      <w:szCs w:val="20"/>
    </w:rPr>
  </w:style>
  <w:style w:type="paragraph" w:styleId="ListParagraph">
    <w:name w:val="List Paragraph"/>
    <w:basedOn w:val="Normal"/>
    <w:uiPriority w:val="34"/>
    <w:qFormat/>
    <w:rsid w:val="00F72FAA"/>
    <w:pPr>
      <w:ind w:left="720"/>
      <w:contextualSpacing/>
    </w:pPr>
  </w:style>
  <w:style w:type="paragraph" w:styleId="BalloonText">
    <w:name w:val="Balloon Text"/>
    <w:basedOn w:val="Normal"/>
    <w:link w:val="BalloonTextChar"/>
    <w:uiPriority w:val="99"/>
    <w:semiHidden/>
    <w:unhideWhenUsed/>
    <w:rsid w:val="00AE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28F"/>
    <w:pPr>
      <w:keepNext/>
      <w:keepLines/>
      <w:spacing w:before="480"/>
      <w:jc w:val="center"/>
      <w:outlineLvl w:val="0"/>
    </w:pPr>
    <w:rPr>
      <w:rFonts w:ascii="Times New Roman" w:eastAsiaTheme="majorEastAsia" w:hAnsi="Times New Roman" w:cstheme="majorBidi"/>
      <w:b/>
      <w:bCs/>
      <w:color w:val="000000" w:themeColor="text1"/>
      <w:sz w:val="28"/>
      <w:szCs w:val="32"/>
      <w:u w:val="single"/>
    </w:rPr>
  </w:style>
  <w:style w:type="paragraph" w:styleId="Heading2">
    <w:name w:val="heading 2"/>
    <w:basedOn w:val="Normal"/>
    <w:next w:val="Normal"/>
    <w:link w:val="Heading2Char"/>
    <w:uiPriority w:val="9"/>
    <w:semiHidden/>
    <w:unhideWhenUsed/>
    <w:qFormat/>
    <w:rsid w:val="0084028F"/>
    <w:pPr>
      <w:keepNext/>
      <w:keepLines/>
      <w:spacing w:before="200"/>
      <w:outlineLvl w:val="1"/>
    </w:pPr>
    <w:rPr>
      <w:rFonts w:ascii="Times New Roman" w:eastAsiaTheme="majorEastAsia" w:hAnsi="Times New Roman" w:cstheme="majorBidi"/>
      <w:b/>
      <w:bCs/>
      <w:color w:val="000000" w:themeColor="text1"/>
      <w:sz w:val="28"/>
      <w:szCs w:val="26"/>
      <w:u w:val="single"/>
    </w:rPr>
  </w:style>
  <w:style w:type="paragraph" w:styleId="Heading3">
    <w:name w:val="heading 3"/>
    <w:basedOn w:val="Normal"/>
    <w:next w:val="Normal"/>
    <w:link w:val="Heading3Char"/>
    <w:uiPriority w:val="9"/>
    <w:unhideWhenUsed/>
    <w:qFormat/>
    <w:rsid w:val="0084028F"/>
    <w:pPr>
      <w:keepNext/>
      <w:keepLines/>
      <w:numPr>
        <w:numId w:val="10"/>
      </w:numPr>
      <w:spacing w:before="200"/>
      <w:ind w:left="180" w:hanging="180"/>
      <w:outlineLvl w:val="2"/>
    </w:pPr>
    <w:rPr>
      <w:rFonts w:ascii="Times New Roman" w:eastAsiaTheme="majorEastAsia" w:hAnsi="Times New Roman" w:cstheme="majorBidi"/>
      <w:b/>
      <w:bCs/>
      <w:color w:val="000000" w:themeColor="text1"/>
      <w:sz w:val="28"/>
    </w:rPr>
  </w:style>
  <w:style w:type="paragraph" w:styleId="Heading4">
    <w:name w:val="heading 4"/>
    <w:basedOn w:val="Normal"/>
    <w:next w:val="Normal"/>
    <w:link w:val="Heading4Char"/>
    <w:uiPriority w:val="9"/>
    <w:unhideWhenUsed/>
    <w:qFormat/>
    <w:rsid w:val="0084028F"/>
    <w:pPr>
      <w:keepNext/>
      <w:keepLines/>
      <w:numPr>
        <w:numId w:val="11"/>
      </w:numPr>
      <w:spacing w:before="200"/>
      <w:ind w:left="1080"/>
      <w:outlineLvl w:val="3"/>
    </w:pPr>
    <w:rPr>
      <w:rFonts w:ascii="Times New Roman" w:eastAsiaTheme="majorEastAsia" w:hAnsi="Times New Roman" w:cstheme="majorBidi"/>
      <w:b/>
      <w:bCs/>
      <w:iCs/>
      <w:color w:val="000000" w:themeColor="text1"/>
      <w:sz w:val="28"/>
    </w:rPr>
  </w:style>
  <w:style w:type="paragraph" w:styleId="Heading5">
    <w:name w:val="heading 5"/>
    <w:basedOn w:val="Normal"/>
    <w:next w:val="Normal"/>
    <w:link w:val="Heading5Char"/>
    <w:uiPriority w:val="9"/>
    <w:semiHidden/>
    <w:unhideWhenUsed/>
    <w:qFormat/>
    <w:rsid w:val="0084028F"/>
    <w:pPr>
      <w:keepNext/>
      <w:keepLines/>
      <w:numPr>
        <w:numId w:val="12"/>
      </w:numPr>
      <w:spacing w:before="200"/>
      <w:outlineLvl w:val="4"/>
    </w:pPr>
    <w:rPr>
      <w:rFonts w:ascii="Times New Roman" w:eastAsiaTheme="majorEastAsia" w:hAnsi="Times New Roman" w:cstheme="majorBidi"/>
      <w:color w:val="000000" w:themeColor="text1"/>
      <w:sz w:val="28"/>
      <w:u w:val="single"/>
    </w:rPr>
  </w:style>
  <w:style w:type="paragraph" w:styleId="Heading6">
    <w:name w:val="heading 6"/>
    <w:basedOn w:val="Normal"/>
    <w:next w:val="Normal"/>
    <w:link w:val="Heading6Char"/>
    <w:uiPriority w:val="9"/>
    <w:unhideWhenUsed/>
    <w:qFormat/>
    <w:rsid w:val="0084028F"/>
    <w:pPr>
      <w:keepNext/>
      <w:keepLines/>
      <w:numPr>
        <w:numId w:val="13"/>
      </w:numPr>
      <w:spacing w:before="200"/>
      <w:ind w:left="2520"/>
      <w:outlineLvl w:val="5"/>
    </w:pPr>
    <w:rPr>
      <w:rFonts w:ascii="Times New Roman" w:eastAsiaTheme="majorEastAsia" w:hAnsi="Times New Roman" w:cstheme="majorBidi"/>
      <w:i/>
      <w:iCs/>
      <w:color w:val="000000" w:themeColor="text1"/>
      <w:sz w:val="28"/>
    </w:rPr>
  </w:style>
  <w:style w:type="paragraph" w:styleId="Heading7">
    <w:name w:val="heading 7"/>
    <w:basedOn w:val="Normal"/>
    <w:next w:val="Normal"/>
    <w:link w:val="Heading7Char"/>
    <w:uiPriority w:val="9"/>
    <w:semiHidden/>
    <w:unhideWhenUsed/>
    <w:qFormat/>
    <w:rsid w:val="0084028F"/>
    <w:pPr>
      <w:keepNext/>
      <w:keepLines/>
      <w:numPr>
        <w:numId w:val="14"/>
      </w:numPr>
      <w:ind w:left="1800"/>
      <w:outlineLvl w:val="6"/>
    </w:pPr>
    <w:rPr>
      <w:rFonts w:ascii="Times New Roman" w:eastAsiaTheme="majorEastAsia" w:hAnsi="Times New Roman" w:cstheme="majorBidi"/>
      <w:b/>
      <w:iCs/>
      <w:color w:val="404040" w:themeColor="text1" w:themeTint="BF"/>
      <w:sz w:val="28"/>
    </w:rPr>
  </w:style>
  <w:style w:type="paragraph" w:styleId="Heading8">
    <w:name w:val="heading 8"/>
    <w:basedOn w:val="Normal"/>
    <w:next w:val="Normal"/>
    <w:link w:val="Heading8Char"/>
    <w:uiPriority w:val="9"/>
    <w:semiHidden/>
    <w:unhideWhenUsed/>
    <w:qFormat/>
    <w:rsid w:val="0084028F"/>
    <w:pPr>
      <w:keepNext/>
      <w:keepLines/>
      <w:numPr>
        <w:numId w:val="15"/>
      </w:numPr>
      <w:ind w:left="1800"/>
      <w:outlineLvl w:val="7"/>
    </w:pPr>
    <w:rPr>
      <w:rFonts w:ascii="Times New Roman" w:eastAsiaTheme="majorEastAsia" w:hAnsi="Times New Roman" w:cstheme="majorBidi"/>
      <w:color w:val="000000" w:themeColor="text1"/>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8F"/>
    <w:rPr>
      <w:rFonts w:ascii="Times New Roman" w:eastAsiaTheme="majorEastAsia" w:hAnsi="Times New Roman" w:cstheme="majorBidi"/>
      <w:b/>
      <w:bCs/>
      <w:color w:val="000000" w:themeColor="text1"/>
      <w:sz w:val="28"/>
      <w:szCs w:val="32"/>
      <w:u w:val="single"/>
    </w:rPr>
  </w:style>
  <w:style w:type="character" w:customStyle="1" w:styleId="Heading3Char">
    <w:name w:val="Heading 3 Char"/>
    <w:basedOn w:val="DefaultParagraphFont"/>
    <w:link w:val="Heading3"/>
    <w:uiPriority w:val="9"/>
    <w:rsid w:val="0084028F"/>
    <w:rPr>
      <w:rFonts w:ascii="Times New Roman" w:eastAsiaTheme="majorEastAsia" w:hAnsi="Times New Roman" w:cstheme="majorBidi"/>
      <w:b/>
      <w:bCs/>
      <w:color w:val="000000" w:themeColor="text1"/>
      <w:sz w:val="28"/>
    </w:rPr>
  </w:style>
  <w:style w:type="character" w:customStyle="1" w:styleId="Heading2Char">
    <w:name w:val="Heading 2 Char"/>
    <w:basedOn w:val="DefaultParagraphFont"/>
    <w:link w:val="Heading2"/>
    <w:uiPriority w:val="9"/>
    <w:semiHidden/>
    <w:rsid w:val="0084028F"/>
    <w:rPr>
      <w:rFonts w:ascii="Times New Roman" w:eastAsiaTheme="majorEastAsia" w:hAnsi="Times New Roman" w:cstheme="majorBidi"/>
      <w:b/>
      <w:bCs/>
      <w:color w:val="000000" w:themeColor="text1"/>
      <w:sz w:val="28"/>
      <w:szCs w:val="26"/>
      <w:u w:val="single"/>
    </w:rPr>
  </w:style>
  <w:style w:type="character" w:customStyle="1" w:styleId="Heading4Char">
    <w:name w:val="Heading 4 Char"/>
    <w:basedOn w:val="DefaultParagraphFont"/>
    <w:link w:val="Heading4"/>
    <w:uiPriority w:val="9"/>
    <w:rsid w:val="0084028F"/>
    <w:rPr>
      <w:rFonts w:ascii="Times New Roman" w:eastAsiaTheme="majorEastAsia" w:hAnsi="Times New Roman" w:cstheme="majorBidi"/>
      <w:b/>
      <w:bCs/>
      <w:iCs/>
      <w:color w:val="000000" w:themeColor="text1"/>
      <w:sz w:val="28"/>
    </w:rPr>
  </w:style>
  <w:style w:type="character" w:customStyle="1" w:styleId="Heading5Char">
    <w:name w:val="Heading 5 Char"/>
    <w:basedOn w:val="DefaultParagraphFont"/>
    <w:link w:val="Heading5"/>
    <w:uiPriority w:val="9"/>
    <w:semiHidden/>
    <w:rsid w:val="0084028F"/>
    <w:rPr>
      <w:rFonts w:ascii="Times New Roman" w:eastAsiaTheme="majorEastAsia" w:hAnsi="Times New Roman" w:cstheme="majorBidi"/>
      <w:color w:val="000000" w:themeColor="text1"/>
      <w:sz w:val="28"/>
      <w:u w:val="single"/>
    </w:rPr>
  </w:style>
  <w:style w:type="character" w:customStyle="1" w:styleId="Heading6Char">
    <w:name w:val="Heading 6 Char"/>
    <w:basedOn w:val="DefaultParagraphFont"/>
    <w:link w:val="Heading6"/>
    <w:uiPriority w:val="9"/>
    <w:rsid w:val="0084028F"/>
    <w:rPr>
      <w:rFonts w:ascii="Times New Roman" w:eastAsiaTheme="majorEastAsia" w:hAnsi="Times New Roman" w:cstheme="majorBidi"/>
      <w:i/>
      <w:iCs/>
      <w:color w:val="000000" w:themeColor="text1"/>
      <w:sz w:val="28"/>
    </w:rPr>
  </w:style>
  <w:style w:type="character" w:customStyle="1" w:styleId="Heading7Char">
    <w:name w:val="Heading 7 Char"/>
    <w:basedOn w:val="DefaultParagraphFont"/>
    <w:link w:val="Heading7"/>
    <w:uiPriority w:val="9"/>
    <w:semiHidden/>
    <w:rsid w:val="0084028F"/>
    <w:rPr>
      <w:rFonts w:ascii="Times New Roman" w:eastAsiaTheme="majorEastAsia" w:hAnsi="Times New Roman" w:cstheme="majorBidi"/>
      <w:b/>
      <w:iCs/>
      <w:color w:val="404040" w:themeColor="text1" w:themeTint="BF"/>
      <w:sz w:val="28"/>
    </w:rPr>
  </w:style>
  <w:style w:type="character" w:customStyle="1" w:styleId="Heading8Char">
    <w:name w:val="Heading 8 Char"/>
    <w:basedOn w:val="DefaultParagraphFont"/>
    <w:link w:val="Heading8"/>
    <w:uiPriority w:val="9"/>
    <w:semiHidden/>
    <w:rsid w:val="0084028F"/>
    <w:rPr>
      <w:rFonts w:ascii="Times New Roman" w:eastAsiaTheme="majorEastAsia" w:hAnsi="Times New Roman" w:cstheme="majorBidi"/>
      <w:color w:val="000000" w:themeColor="text1"/>
      <w:sz w:val="28"/>
      <w:szCs w:val="20"/>
      <w:u w:val="single"/>
    </w:rPr>
  </w:style>
  <w:style w:type="paragraph" w:styleId="FootnoteText">
    <w:name w:val="footnote text"/>
    <w:basedOn w:val="Normal"/>
    <w:link w:val="FootnoteTextChar"/>
    <w:uiPriority w:val="99"/>
    <w:unhideWhenUsed/>
    <w:rsid w:val="00606DC1"/>
  </w:style>
  <w:style w:type="character" w:customStyle="1" w:styleId="FootnoteTextChar">
    <w:name w:val="Footnote Text Char"/>
    <w:basedOn w:val="DefaultParagraphFont"/>
    <w:link w:val="FootnoteText"/>
    <w:uiPriority w:val="99"/>
    <w:rsid w:val="00606DC1"/>
  </w:style>
  <w:style w:type="character" w:styleId="FootnoteReference">
    <w:name w:val="footnote reference"/>
    <w:basedOn w:val="DefaultParagraphFont"/>
    <w:uiPriority w:val="99"/>
    <w:unhideWhenUsed/>
    <w:rsid w:val="00606DC1"/>
    <w:rPr>
      <w:vertAlign w:val="superscript"/>
    </w:rPr>
  </w:style>
  <w:style w:type="paragraph" w:styleId="Footer">
    <w:name w:val="footer"/>
    <w:basedOn w:val="Normal"/>
    <w:link w:val="FooterChar"/>
    <w:uiPriority w:val="99"/>
    <w:unhideWhenUsed/>
    <w:rsid w:val="00844535"/>
    <w:pPr>
      <w:tabs>
        <w:tab w:val="center" w:pos="4320"/>
        <w:tab w:val="right" w:pos="8640"/>
      </w:tabs>
    </w:pPr>
  </w:style>
  <w:style w:type="character" w:customStyle="1" w:styleId="FooterChar">
    <w:name w:val="Footer Char"/>
    <w:basedOn w:val="DefaultParagraphFont"/>
    <w:link w:val="Footer"/>
    <w:uiPriority w:val="99"/>
    <w:rsid w:val="00844535"/>
  </w:style>
  <w:style w:type="character" w:styleId="PageNumber">
    <w:name w:val="page number"/>
    <w:basedOn w:val="DefaultParagraphFont"/>
    <w:uiPriority w:val="99"/>
    <w:semiHidden/>
    <w:unhideWhenUsed/>
    <w:rsid w:val="00844535"/>
  </w:style>
  <w:style w:type="character" w:styleId="Hyperlink">
    <w:name w:val="Hyperlink"/>
    <w:basedOn w:val="DefaultParagraphFont"/>
    <w:uiPriority w:val="99"/>
    <w:unhideWhenUsed/>
    <w:rsid w:val="004A7E40"/>
    <w:rPr>
      <w:color w:val="0000FF" w:themeColor="hyperlink"/>
      <w:u w:val="single"/>
    </w:rPr>
  </w:style>
  <w:style w:type="paragraph" w:styleId="Header">
    <w:name w:val="header"/>
    <w:basedOn w:val="Normal"/>
    <w:link w:val="HeaderChar"/>
    <w:uiPriority w:val="99"/>
    <w:unhideWhenUsed/>
    <w:rsid w:val="00361288"/>
    <w:pPr>
      <w:tabs>
        <w:tab w:val="center" w:pos="4320"/>
        <w:tab w:val="right" w:pos="8640"/>
      </w:tabs>
    </w:pPr>
  </w:style>
  <w:style w:type="character" w:customStyle="1" w:styleId="HeaderChar">
    <w:name w:val="Header Char"/>
    <w:basedOn w:val="DefaultParagraphFont"/>
    <w:link w:val="Header"/>
    <w:uiPriority w:val="99"/>
    <w:rsid w:val="00361288"/>
  </w:style>
  <w:style w:type="paragraph" w:styleId="NormalWeb">
    <w:name w:val="Normal (Web)"/>
    <w:basedOn w:val="Normal"/>
    <w:uiPriority w:val="99"/>
    <w:unhideWhenUsed/>
    <w:rsid w:val="00F816CC"/>
    <w:pPr>
      <w:spacing w:before="100" w:beforeAutospacing="1" w:after="100" w:afterAutospacing="1"/>
    </w:pPr>
    <w:rPr>
      <w:rFonts w:cs="Times New Roman"/>
      <w:sz w:val="20"/>
      <w:szCs w:val="20"/>
    </w:rPr>
  </w:style>
  <w:style w:type="paragraph" w:styleId="ListParagraph">
    <w:name w:val="List Paragraph"/>
    <w:basedOn w:val="Normal"/>
    <w:uiPriority w:val="34"/>
    <w:qFormat/>
    <w:rsid w:val="00F72FAA"/>
    <w:pPr>
      <w:ind w:left="720"/>
      <w:contextualSpacing/>
    </w:pPr>
  </w:style>
  <w:style w:type="paragraph" w:styleId="BalloonText">
    <w:name w:val="Balloon Text"/>
    <w:basedOn w:val="Normal"/>
    <w:link w:val="BalloonTextChar"/>
    <w:uiPriority w:val="99"/>
    <w:semiHidden/>
    <w:unhideWhenUsed/>
    <w:rsid w:val="00AE3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427">
      <w:bodyDiv w:val="1"/>
      <w:marLeft w:val="0"/>
      <w:marRight w:val="0"/>
      <w:marTop w:val="0"/>
      <w:marBottom w:val="0"/>
      <w:divBdr>
        <w:top w:val="none" w:sz="0" w:space="0" w:color="auto"/>
        <w:left w:val="none" w:sz="0" w:space="0" w:color="auto"/>
        <w:bottom w:val="none" w:sz="0" w:space="0" w:color="auto"/>
        <w:right w:val="none" w:sz="0" w:space="0" w:color="auto"/>
      </w:divBdr>
      <w:divsChild>
        <w:div w:id="421685592">
          <w:marLeft w:val="0"/>
          <w:marRight w:val="0"/>
          <w:marTop w:val="0"/>
          <w:marBottom w:val="0"/>
          <w:divBdr>
            <w:top w:val="none" w:sz="0" w:space="0" w:color="auto"/>
            <w:left w:val="none" w:sz="0" w:space="0" w:color="auto"/>
            <w:bottom w:val="none" w:sz="0" w:space="0" w:color="auto"/>
            <w:right w:val="none" w:sz="0" w:space="0" w:color="auto"/>
          </w:divBdr>
          <w:divsChild>
            <w:div w:id="1041200804">
              <w:marLeft w:val="0"/>
              <w:marRight w:val="0"/>
              <w:marTop w:val="0"/>
              <w:marBottom w:val="0"/>
              <w:divBdr>
                <w:top w:val="none" w:sz="0" w:space="0" w:color="auto"/>
                <w:left w:val="none" w:sz="0" w:space="0" w:color="auto"/>
                <w:bottom w:val="none" w:sz="0" w:space="0" w:color="auto"/>
                <w:right w:val="none" w:sz="0" w:space="0" w:color="auto"/>
              </w:divBdr>
              <w:divsChild>
                <w:div w:id="71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0008">
      <w:bodyDiv w:val="1"/>
      <w:marLeft w:val="0"/>
      <w:marRight w:val="0"/>
      <w:marTop w:val="0"/>
      <w:marBottom w:val="0"/>
      <w:divBdr>
        <w:top w:val="none" w:sz="0" w:space="0" w:color="auto"/>
        <w:left w:val="none" w:sz="0" w:space="0" w:color="auto"/>
        <w:bottom w:val="none" w:sz="0" w:space="0" w:color="auto"/>
        <w:right w:val="none" w:sz="0" w:space="0" w:color="auto"/>
      </w:divBdr>
      <w:divsChild>
        <w:div w:id="873811864">
          <w:marLeft w:val="0"/>
          <w:marRight w:val="0"/>
          <w:marTop w:val="0"/>
          <w:marBottom w:val="0"/>
          <w:divBdr>
            <w:top w:val="none" w:sz="0" w:space="0" w:color="auto"/>
            <w:left w:val="none" w:sz="0" w:space="0" w:color="auto"/>
            <w:bottom w:val="none" w:sz="0" w:space="0" w:color="auto"/>
            <w:right w:val="none" w:sz="0" w:space="0" w:color="auto"/>
          </w:divBdr>
          <w:divsChild>
            <w:div w:id="1582176983">
              <w:marLeft w:val="0"/>
              <w:marRight w:val="0"/>
              <w:marTop w:val="0"/>
              <w:marBottom w:val="0"/>
              <w:divBdr>
                <w:top w:val="none" w:sz="0" w:space="0" w:color="auto"/>
                <w:left w:val="none" w:sz="0" w:space="0" w:color="auto"/>
                <w:bottom w:val="none" w:sz="0" w:space="0" w:color="auto"/>
                <w:right w:val="none" w:sz="0" w:space="0" w:color="auto"/>
              </w:divBdr>
              <w:divsChild>
                <w:div w:id="16258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5211">
      <w:bodyDiv w:val="1"/>
      <w:marLeft w:val="0"/>
      <w:marRight w:val="0"/>
      <w:marTop w:val="0"/>
      <w:marBottom w:val="0"/>
      <w:divBdr>
        <w:top w:val="none" w:sz="0" w:space="0" w:color="auto"/>
        <w:left w:val="none" w:sz="0" w:space="0" w:color="auto"/>
        <w:bottom w:val="none" w:sz="0" w:space="0" w:color="auto"/>
        <w:right w:val="none" w:sz="0" w:space="0" w:color="auto"/>
      </w:divBdr>
      <w:divsChild>
        <w:div w:id="375357052">
          <w:marLeft w:val="0"/>
          <w:marRight w:val="0"/>
          <w:marTop w:val="0"/>
          <w:marBottom w:val="0"/>
          <w:divBdr>
            <w:top w:val="none" w:sz="0" w:space="0" w:color="auto"/>
            <w:left w:val="none" w:sz="0" w:space="0" w:color="auto"/>
            <w:bottom w:val="none" w:sz="0" w:space="0" w:color="auto"/>
            <w:right w:val="none" w:sz="0" w:space="0" w:color="auto"/>
          </w:divBdr>
          <w:divsChild>
            <w:div w:id="1642618654">
              <w:marLeft w:val="0"/>
              <w:marRight w:val="0"/>
              <w:marTop w:val="0"/>
              <w:marBottom w:val="0"/>
              <w:divBdr>
                <w:top w:val="none" w:sz="0" w:space="0" w:color="auto"/>
                <w:left w:val="none" w:sz="0" w:space="0" w:color="auto"/>
                <w:bottom w:val="none" w:sz="0" w:space="0" w:color="auto"/>
                <w:right w:val="none" w:sz="0" w:space="0" w:color="auto"/>
              </w:divBdr>
              <w:divsChild>
                <w:div w:id="197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96">
      <w:bodyDiv w:val="1"/>
      <w:marLeft w:val="0"/>
      <w:marRight w:val="0"/>
      <w:marTop w:val="0"/>
      <w:marBottom w:val="0"/>
      <w:divBdr>
        <w:top w:val="none" w:sz="0" w:space="0" w:color="auto"/>
        <w:left w:val="none" w:sz="0" w:space="0" w:color="auto"/>
        <w:bottom w:val="none" w:sz="0" w:space="0" w:color="auto"/>
        <w:right w:val="none" w:sz="0" w:space="0" w:color="auto"/>
      </w:divBdr>
      <w:divsChild>
        <w:div w:id="309528253">
          <w:marLeft w:val="0"/>
          <w:marRight w:val="0"/>
          <w:marTop w:val="0"/>
          <w:marBottom w:val="0"/>
          <w:divBdr>
            <w:top w:val="none" w:sz="0" w:space="0" w:color="auto"/>
            <w:left w:val="none" w:sz="0" w:space="0" w:color="auto"/>
            <w:bottom w:val="none" w:sz="0" w:space="0" w:color="auto"/>
            <w:right w:val="none" w:sz="0" w:space="0" w:color="auto"/>
          </w:divBdr>
          <w:divsChild>
            <w:div w:id="1053579704">
              <w:marLeft w:val="0"/>
              <w:marRight w:val="0"/>
              <w:marTop w:val="0"/>
              <w:marBottom w:val="0"/>
              <w:divBdr>
                <w:top w:val="none" w:sz="0" w:space="0" w:color="auto"/>
                <w:left w:val="none" w:sz="0" w:space="0" w:color="auto"/>
                <w:bottom w:val="none" w:sz="0" w:space="0" w:color="auto"/>
                <w:right w:val="none" w:sz="0" w:space="0" w:color="auto"/>
              </w:divBdr>
              <w:divsChild>
                <w:div w:id="14414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356">
      <w:bodyDiv w:val="1"/>
      <w:marLeft w:val="0"/>
      <w:marRight w:val="0"/>
      <w:marTop w:val="0"/>
      <w:marBottom w:val="0"/>
      <w:divBdr>
        <w:top w:val="none" w:sz="0" w:space="0" w:color="auto"/>
        <w:left w:val="none" w:sz="0" w:space="0" w:color="auto"/>
        <w:bottom w:val="none" w:sz="0" w:space="0" w:color="auto"/>
        <w:right w:val="none" w:sz="0" w:space="0" w:color="auto"/>
      </w:divBdr>
      <w:divsChild>
        <w:div w:id="1147938655">
          <w:marLeft w:val="1166"/>
          <w:marRight w:val="0"/>
          <w:marTop w:val="96"/>
          <w:marBottom w:val="0"/>
          <w:divBdr>
            <w:top w:val="none" w:sz="0" w:space="0" w:color="auto"/>
            <w:left w:val="none" w:sz="0" w:space="0" w:color="auto"/>
            <w:bottom w:val="none" w:sz="0" w:space="0" w:color="auto"/>
            <w:right w:val="none" w:sz="0" w:space="0" w:color="auto"/>
          </w:divBdr>
        </w:div>
      </w:divsChild>
    </w:div>
    <w:div w:id="193007036">
      <w:bodyDiv w:val="1"/>
      <w:marLeft w:val="0"/>
      <w:marRight w:val="0"/>
      <w:marTop w:val="0"/>
      <w:marBottom w:val="0"/>
      <w:divBdr>
        <w:top w:val="none" w:sz="0" w:space="0" w:color="auto"/>
        <w:left w:val="none" w:sz="0" w:space="0" w:color="auto"/>
        <w:bottom w:val="none" w:sz="0" w:space="0" w:color="auto"/>
        <w:right w:val="none" w:sz="0" w:space="0" w:color="auto"/>
      </w:divBdr>
      <w:divsChild>
        <w:div w:id="372120124">
          <w:marLeft w:val="1166"/>
          <w:marRight w:val="0"/>
          <w:marTop w:val="67"/>
          <w:marBottom w:val="0"/>
          <w:divBdr>
            <w:top w:val="none" w:sz="0" w:space="0" w:color="auto"/>
            <w:left w:val="none" w:sz="0" w:space="0" w:color="auto"/>
            <w:bottom w:val="none" w:sz="0" w:space="0" w:color="auto"/>
            <w:right w:val="none" w:sz="0" w:space="0" w:color="auto"/>
          </w:divBdr>
        </w:div>
      </w:divsChild>
    </w:div>
    <w:div w:id="247886172">
      <w:bodyDiv w:val="1"/>
      <w:marLeft w:val="0"/>
      <w:marRight w:val="0"/>
      <w:marTop w:val="0"/>
      <w:marBottom w:val="0"/>
      <w:divBdr>
        <w:top w:val="none" w:sz="0" w:space="0" w:color="auto"/>
        <w:left w:val="none" w:sz="0" w:space="0" w:color="auto"/>
        <w:bottom w:val="none" w:sz="0" w:space="0" w:color="auto"/>
        <w:right w:val="none" w:sz="0" w:space="0" w:color="auto"/>
      </w:divBdr>
      <w:divsChild>
        <w:div w:id="534271583">
          <w:marLeft w:val="1166"/>
          <w:marRight w:val="0"/>
          <w:marTop w:val="86"/>
          <w:marBottom w:val="0"/>
          <w:divBdr>
            <w:top w:val="none" w:sz="0" w:space="0" w:color="auto"/>
            <w:left w:val="none" w:sz="0" w:space="0" w:color="auto"/>
            <w:bottom w:val="none" w:sz="0" w:space="0" w:color="auto"/>
            <w:right w:val="none" w:sz="0" w:space="0" w:color="auto"/>
          </w:divBdr>
        </w:div>
      </w:divsChild>
    </w:div>
    <w:div w:id="257032907">
      <w:bodyDiv w:val="1"/>
      <w:marLeft w:val="0"/>
      <w:marRight w:val="0"/>
      <w:marTop w:val="0"/>
      <w:marBottom w:val="0"/>
      <w:divBdr>
        <w:top w:val="none" w:sz="0" w:space="0" w:color="auto"/>
        <w:left w:val="none" w:sz="0" w:space="0" w:color="auto"/>
        <w:bottom w:val="none" w:sz="0" w:space="0" w:color="auto"/>
        <w:right w:val="none" w:sz="0" w:space="0" w:color="auto"/>
      </w:divBdr>
      <w:divsChild>
        <w:div w:id="2095055646">
          <w:marLeft w:val="0"/>
          <w:marRight w:val="0"/>
          <w:marTop w:val="0"/>
          <w:marBottom w:val="0"/>
          <w:divBdr>
            <w:top w:val="none" w:sz="0" w:space="0" w:color="auto"/>
            <w:left w:val="none" w:sz="0" w:space="0" w:color="auto"/>
            <w:bottom w:val="none" w:sz="0" w:space="0" w:color="auto"/>
            <w:right w:val="none" w:sz="0" w:space="0" w:color="auto"/>
          </w:divBdr>
          <w:divsChild>
            <w:div w:id="1577474468">
              <w:marLeft w:val="0"/>
              <w:marRight w:val="0"/>
              <w:marTop w:val="0"/>
              <w:marBottom w:val="0"/>
              <w:divBdr>
                <w:top w:val="none" w:sz="0" w:space="0" w:color="auto"/>
                <w:left w:val="none" w:sz="0" w:space="0" w:color="auto"/>
                <w:bottom w:val="none" w:sz="0" w:space="0" w:color="auto"/>
                <w:right w:val="none" w:sz="0" w:space="0" w:color="auto"/>
              </w:divBdr>
              <w:divsChild>
                <w:div w:id="73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2738">
      <w:bodyDiv w:val="1"/>
      <w:marLeft w:val="0"/>
      <w:marRight w:val="0"/>
      <w:marTop w:val="0"/>
      <w:marBottom w:val="0"/>
      <w:divBdr>
        <w:top w:val="none" w:sz="0" w:space="0" w:color="auto"/>
        <w:left w:val="none" w:sz="0" w:space="0" w:color="auto"/>
        <w:bottom w:val="none" w:sz="0" w:space="0" w:color="auto"/>
        <w:right w:val="none" w:sz="0" w:space="0" w:color="auto"/>
      </w:divBdr>
      <w:divsChild>
        <w:div w:id="1818951974">
          <w:marLeft w:val="0"/>
          <w:marRight w:val="0"/>
          <w:marTop w:val="0"/>
          <w:marBottom w:val="0"/>
          <w:divBdr>
            <w:top w:val="none" w:sz="0" w:space="0" w:color="auto"/>
            <w:left w:val="none" w:sz="0" w:space="0" w:color="auto"/>
            <w:bottom w:val="none" w:sz="0" w:space="0" w:color="auto"/>
            <w:right w:val="none" w:sz="0" w:space="0" w:color="auto"/>
          </w:divBdr>
          <w:divsChild>
            <w:div w:id="550725795">
              <w:marLeft w:val="0"/>
              <w:marRight w:val="0"/>
              <w:marTop w:val="0"/>
              <w:marBottom w:val="0"/>
              <w:divBdr>
                <w:top w:val="none" w:sz="0" w:space="0" w:color="auto"/>
                <w:left w:val="none" w:sz="0" w:space="0" w:color="auto"/>
                <w:bottom w:val="none" w:sz="0" w:space="0" w:color="auto"/>
                <w:right w:val="none" w:sz="0" w:space="0" w:color="auto"/>
              </w:divBdr>
              <w:divsChild>
                <w:div w:id="581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8245">
      <w:bodyDiv w:val="1"/>
      <w:marLeft w:val="0"/>
      <w:marRight w:val="0"/>
      <w:marTop w:val="0"/>
      <w:marBottom w:val="0"/>
      <w:divBdr>
        <w:top w:val="none" w:sz="0" w:space="0" w:color="auto"/>
        <w:left w:val="none" w:sz="0" w:space="0" w:color="auto"/>
        <w:bottom w:val="none" w:sz="0" w:space="0" w:color="auto"/>
        <w:right w:val="none" w:sz="0" w:space="0" w:color="auto"/>
      </w:divBdr>
      <w:divsChild>
        <w:div w:id="1770812888">
          <w:marLeft w:val="0"/>
          <w:marRight w:val="0"/>
          <w:marTop w:val="0"/>
          <w:marBottom w:val="0"/>
          <w:divBdr>
            <w:top w:val="none" w:sz="0" w:space="0" w:color="auto"/>
            <w:left w:val="none" w:sz="0" w:space="0" w:color="auto"/>
            <w:bottom w:val="none" w:sz="0" w:space="0" w:color="auto"/>
            <w:right w:val="none" w:sz="0" w:space="0" w:color="auto"/>
          </w:divBdr>
          <w:divsChild>
            <w:div w:id="2078550559">
              <w:marLeft w:val="0"/>
              <w:marRight w:val="0"/>
              <w:marTop w:val="0"/>
              <w:marBottom w:val="0"/>
              <w:divBdr>
                <w:top w:val="none" w:sz="0" w:space="0" w:color="auto"/>
                <w:left w:val="none" w:sz="0" w:space="0" w:color="auto"/>
                <w:bottom w:val="none" w:sz="0" w:space="0" w:color="auto"/>
                <w:right w:val="none" w:sz="0" w:space="0" w:color="auto"/>
              </w:divBdr>
              <w:divsChild>
                <w:div w:id="301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4822">
      <w:bodyDiv w:val="1"/>
      <w:marLeft w:val="0"/>
      <w:marRight w:val="0"/>
      <w:marTop w:val="0"/>
      <w:marBottom w:val="0"/>
      <w:divBdr>
        <w:top w:val="none" w:sz="0" w:space="0" w:color="auto"/>
        <w:left w:val="none" w:sz="0" w:space="0" w:color="auto"/>
        <w:bottom w:val="none" w:sz="0" w:space="0" w:color="auto"/>
        <w:right w:val="none" w:sz="0" w:space="0" w:color="auto"/>
      </w:divBdr>
      <w:divsChild>
        <w:div w:id="1677535626">
          <w:marLeft w:val="1166"/>
          <w:marRight w:val="0"/>
          <w:marTop w:val="72"/>
          <w:marBottom w:val="0"/>
          <w:divBdr>
            <w:top w:val="none" w:sz="0" w:space="0" w:color="auto"/>
            <w:left w:val="none" w:sz="0" w:space="0" w:color="auto"/>
            <w:bottom w:val="none" w:sz="0" w:space="0" w:color="auto"/>
            <w:right w:val="none" w:sz="0" w:space="0" w:color="auto"/>
          </w:divBdr>
        </w:div>
      </w:divsChild>
    </w:div>
    <w:div w:id="509837080">
      <w:bodyDiv w:val="1"/>
      <w:marLeft w:val="0"/>
      <w:marRight w:val="0"/>
      <w:marTop w:val="0"/>
      <w:marBottom w:val="0"/>
      <w:divBdr>
        <w:top w:val="none" w:sz="0" w:space="0" w:color="auto"/>
        <w:left w:val="none" w:sz="0" w:space="0" w:color="auto"/>
        <w:bottom w:val="none" w:sz="0" w:space="0" w:color="auto"/>
        <w:right w:val="none" w:sz="0" w:space="0" w:color="auto"/>
      </w:divBdr>
      <w:divsChild>
        <w:div w:id="1860700805">
          <w:marLeft w:val="1166"/>
          <w:marRight w:val="0"/>
          <w:marTop w:val="72"/>
          <w:marBottom w:val="0"/>
          <w:divBdr>
            <w:top w:val="none" w:sz="0" w:space="0" w:color="auto"/>
            <w:left w:val="none" w:sz="0" w:space="0" w:color="auto"/>
            <w:bottom w:val="none" w:sz="0" w:space="0" w:color="auto"/>
            <w:right w:val="none" w:sz="0" w:space="0" w:color="auto"/>
          </w:divBdr>
        </w:div>
      </w:divsChild>
    </w:div>
    <w:div w:id="519705831">
      <w:bodyDiv w:val="1"/>
      <w:marLeft w:val="0"/>
      <w:marRight w:val="0"/>
      <w:marTop w:val="0"/>
      <w:marBottom w:val="0"/>
      <w:divBdr>
        <w:top w:val="none" w:sz="0" w:space="0" w:color="auto"/>
        <w:left w:val="none" w:sz="0" w:space="0" w:color="auto"/>
        <w:bottom w:val="none" w:sz="0" w:space="0" w:color="auto"/>
        <w:right w:val="none" w:sz="0" w:space="0" w:color="auto"/>
      </w:divBdr>
      <w:divsChild>
        <w:div w:id="35282551">
          <w:marLeft w:val="0"/>
          <w:marRight w:val="0"/>
          <w:marTop w:val="0"/>
          <w:marBottom w:val="0"/>
          <w:divBdr>
            <w:top w:val="none" w:sz="0" w:space="0" w:color="auto"/>
            <w:left w:val="none" w:sz="0" w:space="0" w:color="auto"/>
            <w:bottom w:val="none" w:sz="0" w:space="0" w:color="auto"/>
            <w:right w:val="none" w:sz="0" w:space="0" w:color="auto"/>
          </w:divBdr>
          <w:divsChild>
            <w:div w:id="5408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231">
      <w:bodyDiv w:val="1"/>
      <w:marLeft w:val="0"/>
      <w:marRight w:val="0"/>
      <w:marTop w:val="0"/>
      <w:marBottom w:val="0"/>
      <w:divBdr>
        <w:top w:val="none" w:sz="0" w:space="0" w:color="auto"/>
        <w:left w:val="none" w:sz="0" w:space="0" w:color="auto"/>
        <w:bottom w:val="none" w:sz="0" w:space="0" w:color="auto"/>
        <w:right w:val="none" w:sz="0" w:space="0" w:color="auto"/>
      </w:divBdr>
      <w:divsChild>
        <w:div w:id="1746564415">
          <w:marLeft w:val="1166"/>
          <w:marRight w:val="0"/>
          <w:marTop w:val="106"/>
          <w:marBottom w:val="0"/>
          <w:divBdr>
            <w:top w:val="none" w:sz="0" w:space="0" w:color="auto"/>
            <w:left w:val="none" w:sz="0" w:space="0" w:color="auto"/>
            <w:bottom w:val="none" w:sz="0" w:space="0" w:color="auto"/>
            <w:right w:val="none" w:sz="0" w:space="0" w:color="auto"/>
          </w:divBdr>
        </w:div>
      </w:divsChild>
    </w:div>
    <w:div w:id="595331388">
      <w:bodyDiv w:val="1"/>
      <w:marLeft w:val="0"/>
      <w:marRight w:val="0"/>
      <w:marTop w:val="0"/>
      <w:marBottom w:val="0"/>
      <w:divBdr>
        <w:top w:val="none" w:sz="0" w:space="0" w:color="auto"/>
        <w:left w:val="none" w:sz="0" w:space="0" w:color="auto"/>
        <w:bottom w:val="none" w:sz="0" w:space="0" w:color="auto"/>
        <w:right w:val="none" w:sz="0" w:space="0" w:color="auto"/>
      </w:divBdr>
      <w:divsChild>
        <w:div w:id="517619470">
          <w:marLeft w:val="1166"/>
          <w:marRight w:val="0"/>
          <w:marTop w:val="86"/>
          <w:marBottom w:val="0"/>
          <w:divBdr>
            <w:top w:val="none" w:sz="0" w:space="0" w:color="auto"/>
            <w:left w:val="none" w:sz="0" w:space="0" w:color="auto"/>
            <w:bottom w:val="none" w:sz="0" w:space="0" w:color="auto"/>
            <w:right w:val="none" w:sz="0" w:space="0" w:color="auto"/>
          </w:divBdr>
        </w:div>
      </w:divsChild>
    </w:div>
    <w:div w:id="629164684">
      <w:bodyDiv w:val="1"/>
      <w:marLeft w:val="0"/>
      <w:marRight w:val="0"/>
      <w:marTop w:val="0"/>
      <w:marBottom w:val="0"/>
      <w:divBdr>
        <w:top w:val="none" w:sz="0" w:space="0" w:color="auto"/>
        <w:left w:val="none" w:sz="0" w:space="0" w:color="auto"/>
        <w:bottom w:val="none" w:sz="0" w:space="0" w:color="auto"/>
        <w:right w:val="none" w:sz="0" w:space="0" w:color="auto"/>
      </w:divBdr>
      <w:divsChild>
        <w:div w:id="1951088272">
          <w:marLeft w:val="1166"/>
          <w:marRight w:val="0"/>
          <w:marTop w:val="96"/>
          <w:marBottom w:val="0"/>
          <w:divBdr>
            <w:top w:val="none" w:sz="0" w:space="0" w:color="auto"/>
            <w:left w:val="none" w:sz="0" w:space="0" w:color="auto"/>
            <w:bottom w:val="none" w:sz="0" w:space="0" w:color="auto"/>
            <w:right w:val="none" w:sz="0" w:space="0" w:color="auto"/>
          </w:divBdr>
        </w:div>
      </w:divsChild>
    </w:div>
    <w:div w:id="651640308">
      <w:bodyDiv w:val="1"/>
      <w:marLeft w:val="0"/>
      <w:marRight w:val="0"/>
      <w:marTop w:val="0"/>
      <w:marBottom w:val="0"/>
      <w:divBdr>
        <w:top w:val="none" w:sz="0" w:space="0" w:color="auto"/>
        <w:left w:val="none" w:sz="0" w:space="0" w:color="auto"/>
        <w:bottom w:val="none" w:sz="0" w:space="0" w:color="auto"/>
        <w:right w:val="none" w:sz="0" w:space="0" w:color="auto"/>
      </w:divBdr>
      <w:divsChild>
        <w:div w:id="2022975065">
          <w:marLeft w:val="0"/>
          <w:marRight w:val="0"/>
          <w:marTop w:val="0"/>
          <w:marBottom w:val="0"/>
          <w:divBdr>
            <w:top w:val="none" w:sz="0" w:space="0" w:color="auto"/>
            <w:left w:val="none" w:sz="0" w:space="0" w:color="auto"/>
            <w:bottom w:val="none" w:sz="0" w:space="0" w:color="auto"/>
            <w:right w:val="none" w:sz="0" w:space="0" w:color="auto"/>
          </w:divBdr>
          <w:divsChild>
            <w:div w:id="1167206146">
              <w:marLeft w:val="0"/>
              <w:marRight w:val="0"/>
              <w:marTop w:val="0"/>
              <w:marBottom w:val="0"/>
              <w:divBdr>
                <w:top w:val="none" w:sz="0" w:space="0" w:color="auto"/>
                <w:left w:val="none" w:sz="0" w:space="0" w:color="auto"/>
                <w:bottom w:val="none" w:sz="0" w:space="0" w:color="auto"/>
                <w:right w:val="none" w:sz="0" w:space="0" w:color="auto"/>
              </w:divBdr>
              <w:divsChild>
                <w:div w:id="16457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154">
      <w:bodyDiv w:val="1"/>
      <w:marLeft w:val="0"/>
      <w:marRight w:val="0"/>
      <w:marTop w:val="0"/>
      <w:marBottom w:val="0"/>
      <w:divBdr>
        <w:top w:val="none" w:sz="0" w:space="0" w:color="auto"/>
        <w:left w:val="none" w:sz="0" w:space="0" w:color="auto"/>
        <w:bottom w:val="none" w:sz="0" w:space="0" w:color="auto"/>
        <w:right w:val="none" w:sz="0" w:space="0" w:color="auto"/>
      </w:divBdr>
      <w:divsChild>
        <w:div w:id="1371031681">
          <w:marLeft w:val="0"/>
          <w:marRight w:val="0"/>
          <w:marTop w:val="0"/>
          <w:marBottom w:val="0"/>
          <w:divBdr>
            <w:top w:val="none" w:sz="0" w:space="0" w:color="auto"/>
            <w:left w:val="none" w:sz="0" w:space="0" w:color="auto"/>
            <w:bottom w:val="none" w:sz="0" w:space="0" w:color="auto"/>
            <w:right w:val="none" w:sz="0" w:space="0" w:color="auto"/>
          </w:divBdr>
          <w:divsChild>
            <w:div w:id="382144715">
              <w:marLeft w:val="0"/>
              <w:marRight w:val="0"/>
              <w:marTop w:val="0"/>
              <w:marBottom w:val="0"/>
              <w:divBdr>
                <w:top w:val="none" w:sz="0" w:space="0" w:color="auto"/>
                <w:left w:val="none" w:sz="0" w:space="0" w:color="auto"/>
                <w:bottom w:val="none" w:sz="0" w:space="0" w:color="auto"/>
                <w:right w:val="none" w:sz="0" w:space="0" w:color="auto"/>
              </w:divBdr>
              <w:divsChild>
                <w:div w:id="13374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731">
      <w:bodyDiv w:val="1"/>
      <w:marLeft w:val="0"/>
      <w:marRight w:val="0"/>
      <w:marTop w:val="0"/>
      <w:marBottom w:val="0"/>
      <w:divBdr>
        <w:top w:val="none" w:sz="0" w:space="0" w:color="auto"/>
        <w:left w:val="none" w:sz="0" w:space="0" w:color="auto"/>
        <w:bottom w:val="none" w:sz="0" w:space="0" w:color="auto"/>
        <w:right w:val="none" w:sz="0" w:space="0" w:color="auto"/>
      </w:divBdr>
      <w:divsChild>
        <w:div w:id="1829126717">
          <w:marLeft w:val="0"/>
          <w:marRight w:val="0"/>
          <w:marTop w:val="0"/>
          <w:marBottom w:val="0"/>
          <w:divBdr>
            <w:top w:val="none" w:sz="0" w:space="0" w:color="auto"/>
            <w:left w:val="none" w:sz="0" w:space="0" w:color="auto"/>
            <w:bottom w:val="none" w:sz="0" w:space="0" w:color="auto"/>
            <w:right w:val="none" w:sz="0" w:space="0" w:color="auto"/>
          </w:divBdr>
          <w:divsChild>
            <w:div w:id="1333531632">
              <w:marLeft w:val="0"/>
              <w:marRight w:val="0"/>
              <w:marTop w:val="0"/>
              <w:marBottom w:val="0"/>
              <w:divBdr>
                <w:top w:val="none" w:sz="0" w:space="0" w:color="auto"/>
                <w:left w:val="none" w:sz="0" w:space="0" w:color="auto"/>
                <w:bottom w:val="none" w:sz="0" w:space="0" w:color="auto"/>
                <w:right w:val="none" w:sz="0" w:space="0" w:color="auto"/>
              </w:divBdr>
              <w:divsChild>
                <w:div w:id="256645727">
                  <w:marLeft w:val="0"/>
                  <w:marRight w:val="0"/>
                  <w:marTop w:val="0"/>
                  <w:marBottom w:val="0"/>
                  <w:divBdr>
                    <w:top w:val="none" w:sz="0" w:space="0" w:color="auto"/>
                    <w:left w:val="none" w:sz="0" w:space="0" w:color="auto"/>
                    <w:bottom w:val="none" w:sz="0" w:space="0" w:color="auto"/>
                    <w:right w:val="none" w:sz="0" w:space="0" w:color="auto"/>
                  </w:divBdr>
                  <w:divsChild>
                    <w:div w:id="694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4082">
      <w:bodyDiv w:val="1"/>
      <w:marLeft w:val="0"/>
      <w:marRight w:val="0"/>
      <w:marTop w:val="0"/>
      <w:marBottom w:val="0"/>
      <w:divBdr>
        <w:top w:val="none" w:sz="0" w:space="0" w:color="auto"/>
        <w:left w:val="none" w:sz="0" w:space="0" w:color="auto"/>
        <w:bottom w:val="none" w:sz="0" w:space="0" w:color="auto"/>
        <w:right w:val="none" w:sz="0" w:space="0" w:color="auto"/>
      </w:divBdr>
      <w:divsChild>
        <w:div w:id="2075737957">
          <w:marLeft w:val="0"/>
          <w:marRight w:val="0"/>
          <w:marTop w:val="0"/>
          <w:marBottom w:val="0"/>
          <w:divBdr>
            <w:top w:val="none" w:sz="0" w:space="0" w:color="auto"/>
            <w:left w:val="none" w:sz="0" w:space="0" w:color="auto"/>
            <w:bottom w:val="none" w:sz="0" w:space="0" w:color="auto"/>
            <w:right w:val="none" w:sz="0" w:space="0" w:color="auto"/>
          </w:divBdr>
          <w:divsChild>
            <w:div w:id="211042919">
              <w:marLeft w:val="0"/>
              <w:marRight w:val="0"/>
              <w:marTop w:val="0"/>
              <w:marBottom w:val="0"/>
              <w:divBdr>
                <w:top w:val="none" w:sz="0" w:space="0" w:color="auto"/>
                <w:left w:val="none" w:sz="0" w:space="0" w:color="auto"/>
                <w:bottom w:val="none" w:sz="0" w:space="0" w:color="auto"/>
                <w:right w:val="none" w:sz="0" w:space="0" w:color="auto"/>
              </w:divBdr>
              <w:divsChild>
                <w:div w:id="1573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909">
      <w:bodyDiv w:val="1"/>
      <w:marLeft w:val="0"/>
      <w:marRight w:val="0"/>
      <w:marTop w:val="0"/>
      <w:marBottom w:val="0"/>
      <w:divBdr>
        <w:top w:val="none" w:sz="0" w:space="0" w:color="auto"/>
        <w:left w:val="none" w:sz="0" w:space="0" w:color="auto"/>
        <w:bottom w:val="none" w:sz="0" w:space="0" w:color="auto"/>
        <w:right w:val="none" w:sz="0" w:space="0" w:color="auto"/>
      </w:divBdr>
      <w:divsChild>
        <w:div w:id="698891106">
          <w:marLeft w:val="1800"/>
          <w:marRight w:val="0"/>
          <w:marTop w:val="86"/>
          <w:marBottom w:val="0"/>
          <w:divBdr>
            <w:top w:val="none" w:sz="0" w:space="0" w:color="auto"/>
            <w:left w:val="none" w:sz="0" w:space="0" w:color="auto"/>
            <w:bottom w:val="none" w:sz="0" w:space="0" w:color="auto"/>
            <w:right w:val="none" w:sz="0" w:space="0" w:color="auto"/>
          </w:divBdr>
        </w:div>
      </w:divsChild>
    </w:div>
    <w:div w:id="760638148">
      <w:bodyDiv w:val="1"/>
      <w:marLeft w:val="0"/>
      <w:marRight w:val="0"/>
      <w:marTop w:val="0"/>
      <w:marBottom w:val="0"/>
      <w:divBdr>
        <w:top w:val="none" w:sz="0" w:space="0" w:color="auto"/>
        <w:left w:val="none" w:sz="0" w:space="0" w:color="auto"/>
        <w:bottom w:val="none" w:sz="0" w:space="0" w:color="auto"/>
        <w:right w:val="none" w:sz="0" w:space="0" w:color="auto"/>
      </w:divBdr>
      <w:divsChild>
        <w:div w:id="1907648130">
          <w:marLeft w:val="0"/>
          <w:marRight w:val="0"/>
          <w:marTop w:val="0"/>
          <w:marBottom w:val="0"/>
          <w:divBdr>
            <w:top w:val="none" w:sz="0" w:space="0" w:color="auto"/>
            <w:left w:val="none" w:sz="0" w:space="0" w:color="auto"/>
            <w:bottom w:val="none" w:sz="0" w:space="0" w:color="auto"/>
            <w:right w:val="none" w:sz="0" w:space="0" w:color="auto"/>
          </w:divBdr>
          <w:divsChild>
            <w:div w:id="225381780">
              <w:marLeft w:val="0"/>
              <w:marRight w:val="0"/>
              <w:marTop w:val="0"/>
              <w:marBottom w:val="0"/>
              <w:divBdr>
                <w:top w:val="none" w:sz="0" w:space="0" w:color="auto"/>
                <w:left w:val="none" w:sz="0" w:space="0" w:color="auto"/>
                <w:bottom w:val="none" w:sz="0" w:space="0" w:color="auto"/>
                <w:right w:val="none" w:sz="0" w:space="0" w:color="auto"/>
              </w:divBdr>
              <w:divsChild>
                <w:div w:id="10612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6558">
      <w:bodyDiv w:val="1"/>
      <w:marLeft w:val="0"/>
      <w:marRight w:val="0"/>
      <w:marTop w:val="0"/>
      <w:marBottom w:val="0"/>
      <w:divBdr>
        <w:top w:val="none" w:sz="0" w:space="0" w:color="auto"/>
        <w:left w:val="none" w:sz="0" w:space="0" w:color="auto"/>
        <w:bottom w:val="none" w:sz="0" w:space="0" w:color="auto"/>
        <w:right w:val="none" w:sz="0" w:space="0" w:color="auto"/>
      </w:divBdr>
      <w:divsChild>
        <w:div w:id="1256593551">
          <w:marLeft w:val="0"/>
          <w:marRight w:val="0"/>
          <w:marTop w:val="0"/>
          <w:marBottom w:val="0"/>
          <w:divBdr>
            <w:top w:val="none" w:sz="0" w:space="0" w:color="auto"/>
            <w:left w:val="none" w:sz="0" w:space="0" w:color="auto"/>
            <w:bottom w:val="none" w:sz="0" w:space="0" w:color="auto"/>
            <w:right w:val="none" w:sz="0" w:space="0" w:color="auto"/>
          </w:divBdr>
          <w:divsChild>
            <w:div w:id="1449546683">
              <w:marLeft w:val="0"/>
              <w:marRight w:val="0"/>
              <w:marTop w:val="0"/>
              <w:marBottom w:val="0"/>
              <w:divBdr>
                <w:top w:val="none" w:sz="0" w:space="0" w:color="auto"/>
                <w:left w:val="none" w:sz="0" w:space="0" w:color="auto"/>
                <w:bottom w:val="none" w:sz="0" w:space="0" w:color="auto"/>
                <w:right w:val="none" w:sz="0" w:space="0" w:color="auto"/>
              </w:divBdr>
              <w:divsChild>
                <w:div w:id="6733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853">
      <w:bodyDiv w:val="1"/>
      <w:marLeft w:val="0"/>
      <w:marRight w:val="0"/>
      <w:marTop w:val="0"/>
      <w:marBottom w:val="0"/>
      <w:divBdr>
        <w:top w:val="none" w:sz="0" w:space="0" w:color="auto"/>
        <w:left w:val="none" w:sz="0" w:space="0" w:color="auto"/>
        <w:bottom w:val="none" w:sz="0" w:space="0" w:color="auto"/>
        <w:right w:val="none" w:sz="0" w:space="0" w:color="auto"/>
      </w:divBdr>
      <w:divsChild>
        <w:div w:id="1205798373">
          <w:marLeft w:val="0"/>
          <w:marRight w:val="0"/>
          <w:marTop w:val="0"/>
          <w:marBottom w:val="0"/>
          <w:divBdr>
            <w:top w:val="none" w:sz="0" w:space="0" w:color="auto"/>
            <w:left w:val="none" w:sz="0" w:space="0" w:color="auto"/>
            <w:bottom w:val="none" w:sz="0" w:space="0" w:color="auto"/>
            <w:right w:val="none" w:sz="0" w:space="0" w:color="auto"/>
          </w:divBdr>
          <w:divsChild>
            <w:div w:id="2074234053">
              <w:marLeft w:val="0"/>
              <w:marRight w:val="0"/>
              <w:marTop w:val="0"/>
              <w:marBottom w:val="0"/>
              <w:divBdr>
                <w:top w:val="none" w:sz="0" w:space="0" w:color="auto"/>
                <w:left w:val="none" w:sz="0" w:space="0" w:color="auto"/>
                <w:bottom w:val="none" w:sz="0" w:space="0" w:color="auto"/>
                <w:right w:val="none" w:sz="0" w:space="0" w:color="auto"/>
              </w:divBdr>
              <w:divsChild>
                <w:div w:id="18921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5146">
      <w:bodyDiv w:val="1"/>
      <w:marLeft w:val="0"/>
      <w:marRight w:val="0"/>
      <w:marTop w:val="0"/>
      <w:marBottom w:val="0"/>
      <w:divBdr>
        <w:top w:val="none" w:sz="0" w:space="0" w:color="auto"/>
        <w:left w:val="none" w:sz="0" w:space="0" w:color="auto"/>
        <w:bottom w:val="none" w:sz="0" w:space="0" w:color="auto"/>
        <w:right w:val="none" w:sz="0" w:space="0" w:color="auto"/>
      </w:divBdr>
      <w:divsChild>
        <w:div w:id="182793911">
          <w:marLeft w:val="0"/>
          <w:marRight w:val="0"/>
          <w:marTop w:val="0"/>
          <w:marBottom w:val="0"/>
          <w:divBdr>
            <w:top w:val="none" w:sz="0" w:space="0" w:color="auto"/>
            <w:left w:val="none" w:sz="0" w:space="0" w:color="auto"/>
            <w:bottom w:val="none" w:sz="0" w:space="0" w:color="auto"/>
            <w:right w:val="none" w:sz="0" w:space="0" w:color="auto"/>
          </w:divBdr>
          <w:divsChild>
            <w:div w:id="1536580014">
              <w:marLeft w:val="0"/>
              <w:marRight w:val="0"/>
              <w:marTop w:val="0"/>
              <w:marBottom w:val="0"/>
              <w:divBdr>
                <w:top w:val="none" w:sz="0" w:space="0" w:color="auto"/>
                <w:left w:val="none" w:sz="0" w:space="0" w:color="auto"/>
                <w:bottom w:val="none" w:sz="0" w:space="0" w:color="auto"/>
                <w:right w:val="none" w:sz="0" w:space="0" w:color="auto"/>
              </w:divBdr>
              <w:divsChild>
                <w:div w:id="2193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591">
      <w:bodyDiv w:val="1"/>
      <w:marLeft w:val="0"/>
      <w:marRight w:val="0"/>
      <w:marTop w:val="0"/>
      <w:marBottom w:val="0"/>
      <w:divBdr>
        <w:top w:val="none" w:sz="0" w:space="0" w:color="auto"/>
        <w:left w:val="none" w:sz="0" w:space="0" w:color="auto"/>
        <w:bottom w:val="none" w:sz="0" w:space="0" w:color="auto"/>
        <w:right w:val="none" w:sz="0" w:space="0" w:color="auto"/>
      </w:divBdr>
      <w:divsChild>
        <w:div w:id="782726477">
          <w:marLeft w:val="0"/>
          <w:marRight w:val="0"/>
          <w:marTop w:val="0"/>
          <w:marBottom w:val="0"/>
          <w:divBdr>
            <w:top w:val="none" w:sz="0" w:space="0" w:color="auto"/>
            <w:left w:val="none" w:sz="0" w:space="0" w:color="auto"/>
            <w:bottom w:val="none" w:sz="0" w:space="0" w:color="auto"/>
            <w:right w:val="none" w:sz="0" w:space="0" w:color="auto"/>
          </w:divBdr>
          <w:divsChild>
            <w:div w:id="1392848513">
              <w:marLeft w:val="0"/>
              <w:marRight w:val="0"/>
              <w:marTop w:val="0"/>
              <w:marBottom w:val="0"/>
              <w:divBdr>
                <w:top w:val="none" w:sz="0" w:space="0" w:color="auto"/>
                <w:left w:val="none" w:sz="0" w:space="0" w:color="auto"/>
                <w:bottom w:val="none" w:sz="0" w:space="0" w:color="auto"/>
                <w:right w:val="none" w:sz="0" w:space="0" w:color="auto"/>
              </w:divBdr>
              <w:divsChild>
                <w:div w:id="1307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805">
      <w:bodyDiv w:val="1"/>
      <w:marLeft w:val="0"/>
      <w:marRight w:val="0"/>
      <w:marTop w:val="0"/>
      <w:marBottom w:val="0"/>
      <w:divBdr>
        <w:top w:val="none" w:sz="0" w:space="0" w:color="auto"/>
        <w:left w:val="none" w:sz="0" w:space="0" w:color="auto"/>
        <w:bottom w:val="none" w:sz="0" w:space="0" w:color="auto"/>
        <w:right w:val="none" w:sz="0" w:space="0" w:color="auto"/>
      </w:divBdr>
      <w:divsChild>
        <w:div w:id="1723289887">
          <w:marLeft w:val="1166"/>
          <w:marRight w:val="0"/>
          <w:marTop w:val="77"/>
          <w:marBottom w:val="0"/>
          <w:divBdr>
            <w:top w:val="none" w:sz="0" w:space="0" w:color="auto"/>
            <w:left w:val="none" w:sz="0" w:space="0" w:color="auto"/>
            <w:bottom w:val="none" w:sz="0" w:space="0" w:color="auto"/>
            <w:right w:val="none" w:sz="0" w:space="0" w:color="auto"/>
          </w:divBdr>
        </w:div>
      </w:divsChild>
    </w:div>
    <w:div w:id="974867967">
      <w:bodyDiv w:val="1"/>
      <w:marLeft w:val="0"/>
      <w:marRight w:val="0"/>
      <w:marTop w:val="0"/>
      <w:marBottom w:val="0"/>
      <w:divBdr>
        <w:top w:val="none" w:sz="0" w:space="0" w:color="auto"/>
        <w:left w:val="none" w:sz="0" w:space="0" w:color="auto"/>
        <w:bottom w:val="none" w:sz="0" w:space="0" w:color="auto"/>
        <w:right w:val="none" w:sz="0" w:space="0" w:color="auto"/>
      </w:divBdr>
      <w:divsChild>
        <w:div w:id="372048741">
          <w:marLeft w:val="0"/>
          <w:marRight w:val="0"/>
          <w:marTop w:val="0"/>
          <w:marBottom w:val="0"/>
          <w:divBdr>
            <w:top w:val="none" w:sz="0" w:space="0" w:color="auto"/>
            <w:left w:val="none" w:sz="0" w:space="0" w:color="auto"/>
            <w:bottom w:val="none" w:sz="0" w:space="0" w:color="auto"/>
            <w:right w:val="none" w:sz="0" w:space="0" w:color="auto"/>
          </w:divBdr>
          <w:divsChild>
            <w:div w:id="1643465383">
              <w:marLeft w:val="0"/>
              <w:marRight w:val="0"/>
              <w:marTop w:val="0"/>
              <w:marBottom w:val="0"/>
              <w:divBdr>
                <w:top w:val="none" w:sz="0" w:space="0" w:color="auto"/>
                <w:left w:val="none" w:sz="0" w:space="0" w:color="auto"/>
                <w:bottom w:val="none" w:sz="0" w:space="0" w:color="auto"/>
                <w:right w:val="none" w:sz="0" w:space="0" w:color="auto"/>
              </w:divBdr>
              <w:divsChild>
                <w:div w:id="13852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5652">
      <w:bodyDiv w:val="1"/>
      <w:marLeft w:val="0"/>
      <w:marRight w:val="0"/>
      <w:marTop w:val="0"/>
      <w:marBottom w:val="0"/>
      <w:divBdr>
        <w:top w:val="none" w:sz="0" w:space="0" w:color="auto"/>
        <w:left w:val="none" w:sz="0" w:space="0" w:color="auto"/>
        <w:bottom w:val="none" w:sz="0" w:space="0" w:color="auto"/>
        <w:right w:val="none" w:sz="0" w:space="0" w:color="auto"/>
      </w:divBdr>
      <w:divsChild>
        <w:div w:id="824473737">
          <w:marLeft w:val="0"/>
          <w:marRight w:val="0"/>
          <w:marTop w:val="0"/>
          <w:marBottom w:val="0"/>
          <w:divBdr>
            <w:top w:val="none" w:sz="0" w:space="0" w:color="auto"/>
            <w:left w:val="none" w:sz="0" w:space="0" w:color="auto"/>
            <w:bottom w:val="none" w:sz="0" w:space="0" w:color="auto"/>
            <w:right w:val="none" w:sz="0" w:space="0" w:color="auto"/>
          </w:divBdr>
          <w:divsChild>
            <w:div w:id="767038967">
              <w:marLeft w:val="0"/>
              <w:marRight w:val="0"/>
              <w:marTop w:val="0"/>
              <w:marBottom w:val="0"/>
              <w:divBdr>
                <w:top w:val="none" w:sz="0" w:space="0" w:color="auto"/>
                <w:left w:val="none" w:sz="0" w:space="0" w:color="auto"/>
                <w:bottom w:val="none" w:sz="0" w:space="0" w:color="auto"/>
                <w:right w:val="none" w:sz="0" w:space="0" w:color="auto"/>
              </w:divBdr>
              <w:divsChild>
                <w:div w:id="130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0380">
      <w:bodyDiv w:val="1"/>
      <w:marLeft w:val="0"/>
      <w:marRight w:val="0"/>
      <w:marTop w:val="0"/>
      <w:marBottom w:val="0"/>
      <w:divBdr>
        <w:top w:val="none" w:sz="0" w:space="0" w:color="auto"/>
        <w:left w:val="none" w:sz="0" w:space="0" w:color="auto"/>
        <w:bottom w:val="none" w:sz="0" w:space="0" w:color="auto"/>
        <w:right w:val="none" w:sz="0" w:space="0" w:color="auto"/>
      </w:divBdr>
      <w:divsChild>
        <w:div w:id="1633101058">
          <w:marLeft w:val="547"/>
          <w:marRight w:val="0"/>
          <w:marTop w:val="106"/>
          <w:marBottom w:val="0"/>
          <w:divBdr>
            <w:top w:val="none" w:sz="0" w:space="0" w:color="auto"/>
            <w:left w:val="none" w:sz="0" w:space="0" w:color="auto"/>
            <w:bottom w:val="none" w:sz="0" w:space="0" w:color="auto"/>
            <w:right w:val="none" w:sz="0" w:space="0" w:color="auto"/>
          </w:divBdr>
        </w:div>
      </w:divsChild>
    </w:div>
    <w:div w:id="1172336205">
      <w:bodyDiv w:val="1"/>
      <w:marLeft w:val="0"/>
      <w:marRight w:val="0"/>
      <w:marTop w:val="0"/>
      <w:marBottom w:val="0"/>
      <w:divBdr>
        <w:top w:val="none" w:sz="0" w:space="0" w:color="auto"/>
        <w:left w:val="none" w:sz="0" w:space="0" w:color="auto"/>
        <w:bottom w:val="none" w:sz="0" w:space="0" w:color="auto"/>
        <w:right w:val="none" w:sz="0" w:space="0" w:color="auto"/>
      </w:divBdr>
      <w:divsChild>
        <w:div w:id="904606051">
          <w:marLeft w:val="0"/>
          <w:marRight w:val="0"/>
          <w:marTop w:val="0"/>
          <w:marBottom w:val="0"/>
          <w:divBdr>
            <w:top w:val="none" w:sz="0" w:space="0" w:color="auto"/>
            <w:left w:val="none" w:sz="0" w:space="0" w:color="auto"/>
            <w:bottom w:val="none" w:sz="0" w:space="0" w:color="auto"/>
            <w:right w:val="none" w:sz="0" w:space="0" w:color="auto"/>
          </w:divBdr>
          <w:divsChild>
            <w:div w:id="2109351156">
              <w:marLeft w:val="0"/>
              <w:marRight w:val="0"/>
              <w:marTop w:val="0"/>
              <w:marBottom w:val="0"/>
              <w:divBdr>
                <w:top w:val="none" w:sz="0" w:space="0" w:color="auto"/>
                <w:left w:val="none" w:sz="0" w:space="0" w:color="auto"/>
                <w:bottom w:val="none" w:sz="0" w:space="0" w:color="auto"/>
                <w:right w:val="none" w:sz="0" w:space="0" w:color="auto"/>
              </w:divBdr>
              <w:divsChild>
                <w:div w:id="2333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17372">
      <w:bodyDiv w:val="1"/>
      <w:marLeft w:val="0"/>
      <w:marRight w:val="0"/>
      <w:marTop w:val="0"/>
      <w:marBottom w:val="0"/>
      <w:divBdr>
        <w:top w:val="none" w:sz="0" w:space="0" w:color="auto"/>
        <w:left w:val="none" w:sz="0" w:space="0" w:color="auto"/>
        <w:bottom w:val="none" w:sz="0" w:space="0" w:color="auto"/>
        <w:right w:val="none" w:sz="0" w:space="0" w:color="auto"/>
      </w:divBdr>
      <w:divsChild>
        <w:div w:id="703672502">
          <w:marLeft w:val="0"/>
          <w:marRight w:val="0"/>
          <w:marTop w:val="0"/>
          <w:marBottom w:val="0"/>
          <w:divBdr>
            <w:top w:val="none" w:sz="0" w:space="0" w:color="auto"/>
            <w:left w:val="none" w:sz="0" w:space="0" w:color="auto"/>
            <w:bottom w:val="none" w:sz="0" w:space="0" w:color="auto"/>
            <w:right w:val="none" w:sz="0" w:space="0" w:color="auto"/>
          </w:divBdr>
          <w:divsChild>
            <w:div w:id="93593887">
              <w:marLeft w:val="0"/>
              <w:marRight w:val="0"/>
              <w:marTop w:val="0"/>
              <w:marBottom w:val="0"/>
              <w:divBdr>
                <w:top w:val="none" w:sz="0" w:space="0" w:color="auto"/>
                <w:left w:val="none" w:sz="0" w:space="0" w:color="auto"/>
                <w:bottom w:val="none" w:sz="0" w:space="0" w:color="auto"/>
                <w:right w:val="none" w:sz="0" w:space="0" w:color="auto"/>
              </w:divBdr>
              <w:divsChild>
                <w:div w:id="20603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7247">
      <w:bodyDiv w:val="1"/>
      <w:marLeft w:val="0"/>
      <w:marRight w:val="0"/>
      <w:marTop w:val="0"/>
      <w:marBottom w:val="0"/>
      <w:divBdr>
        <w:top w:val="none" w:sz="0" w:space="0" w:color="auto"/>
        <w:left w:val="none" w:sz="0" w:space="0" w:color="auto"/>
        <w:bottom w:val="none" w:sz="0" w:space="0" w:color="auto"/>
        <w:right w:val="none" w:sz="0" w:space="0" w:color="auto"/>
      </w:divBdr>
      <w:divsChild>
        <w:div w:id="2112554690">
          <w:marLeft w:val="0"/>
          <w:marRight w:val="0"/>
          <w:marTop w:val="0"/>
          <w:marBottom w:val="0"/>
          <w:divBdr>
            <w:top w:val="none" w:sz="0" w:space="0" w:color="auto"/>
            <w:left w:val="none" w:sz="0" w:space="0" w:color="auto"/>
            <w:bottom w:val="none" w:sz="0" w:space="0" w:color="auto"/>
            <w:right w:val="none" w:sz="0" w:space="0" w:color="auto"/>
          </w:divBdr>
          <w:divsChild>
            <w:div w:id="1281647953">
              <w:marLeft w:val="0"/>
              <w:marRight w:val="0"/>
              <w:marTop w:val="0"/>
              <w:marBottom w:val="0"/>
              <w:divBdr>
                <w:top w:val="none" w:sz="0" w:space="0" w:color="auto"/>
                <w:left w:val="none" w:sz="0" w:space="0" w:color="auto"/>
                <w:bottom w:val="none" w:sz="0" w:space="0" w:color="auto"/>
                <w:right w:val="none" w:sz="0" w:space="0" w:color="auto"/>
              </w:divBdr>
              <w:divsChild>
                <w:div w:id="20879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9767">
      <w:bodyDiv w:val="1"/>
      <w:marLeft w:val="0"/>
      <w:marRight w:val="0"/>
      <w:marTop w:val="0"/>
      <w:marBottom w:val="0"/>
      <w:divBdr>
        <w:top w:val="none" w:sz="0" w:space="0" w:color="auto"/>
        <w:left w:val="none" w:sz="0" w:space="0" w:color="auto"/>
        <w:bottom w:val="none" w:sz="0" w:space="0" w:color="auto"/>
        <w:right w:val="none" w:sz="0" w:space="0" w:color="auto"/>
      </w:divBdr>
      <w:divsChild>
        <w:div w:id="793866980">
          <w:marLeft w:val="0"/>
          <w:marRight w:val="0"/>
          <w:marTop w:val="0"/>
          <w:marBottom w:val="0"/>
          <w:divBdr>
            <w:top w:val="none" w:sz="0" w:space="0" w:color="auto"/>
            <w:left w:val="none" w:sz="0" w:space="0" w:color="auto"/>
            <w:bottom w:val="none" w:sz="0" w:space="0" w:color="auto"/>
            <w:right w:val="none" w:sz="0" w:space="0" w:color="auto"/>
          </w:divBdr>
          <w:divsChild>
            <w:div w:id="2046980582">
              <w:marLeft w:val="0"/>
              <w:marRight w:val="0"/>
              <w:marTop w:val="0"/>
              <w:marBottom w:val="0"/>
              <w:divBdr>
                <w:top w:val="none" w:sz="0" w:space="0" w:color="auto"/>
                <w:left w:val="none" w:sz="0" w:space="0" w:color="auto"/>
                <w:bottom w:val="none" w:sz="0" w:space="0" w:color="auto"/>
                <w:right w:val="none" w:sz="0" w:space="0" w:color="auto"/>
              </w:divBdr>
              <w:divsChild>
                <w:div w:id="1058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41568">
      <w:bodyDiv w:val="1"/>
      <w:marLeft w:val="0"/>
      <w:marRight w:val="0"/>
      <w:marTop w:val="0"/>
      <w:marBottom w:val="0"/>
      <w:divBdr>
        <w:top w:val="none" w:sz="0" w:space="0" w:color="auto"/>
        <w:left w:val="none" w:sz="0" w:space="0" w:color="auto"/>
        <w:bottom w:val="none" w:sz="0" w:space="0" w:color="auto"/>
        <w:right w:val="none" w:sz="0" w:space="0" w:color="auto"/>
      </w:divBdr>
      <w:divsChild>
        <w:div w:id="2028285263">
          <w:marLeft w:val="1800"/>
          <w:marRight w:val="0"/>
          <w:marTop w:val="86"/>
          <w:marBottom w:val="0"/>
          <w:divBdr>
            <w:top w:val="none" w:sz="0" w:space="0" w:color="auto"/>
            <w:left w:val="none" w:sz="0" w:space="0" w:color="auto"/>
            <w:bottom w:val="none" w:sz="0" w:space="0" w:color="auto"/>
            <w:right w:val="none" w:sz="0" w:space="0" w:color="auto"/>
          </w:divBdr>
        </w:div>
      </w:divsChild>
    </w:div>
    <w:div w:id="1294678240">
      <w:bodyDiv w:val="1"/>
      <w:marLeft w:val="0"/>
      <w:marRight w:val="0"/>
      <w:marTop w:val="0"/>
      <w:marBottom w:val="0"/>
      <w:divBdr>
        <w:top w:val="none" w:sz="0" w:space="0" w:color="auto"/>
        <w:left w:val="none" w:sz="0" w:space="0" w:color="auto"/>
        <w:bottom w:val="none" w:sz="0" w:space="0" w:color="auto"/>
        <w:right w:val="none" w:sz="0" w:space="0" w:color="auto"/>
      </w:divBdr>
      <w:divsChild>
        <w:div w:id="1076786566">
          <w:marLeft w:val="0"/>
          <w:marRight w:val="0"/>
          <w:marTop w:val="0"/>
          <w:marBottom w:val="0"/>
          <w:divBdr>
            <w:top w:val="none" w:sz="0" w:space="0" w:color="auto"/>
            <w:left w:val="none" w:sz="0" w:space="0" w:color="auto"/>
            <w:bottom w:val="none" w:sz="0" w:space="0" w:color="auto"/>
            <w:right w:val="none" w:sz="0" w:space="0" w:color="auto"/>
          </w:divBdr>
          <w:divsChild>
            <w:div w:id="664551567">
              <w:marLeft w:val="0"/>
              <w:marRight w:val="0"/>
              <w:marTop w:val="0"/>
              <w:marBottom w:val="0"/>
              <w:divBdr>
                <w:top w:val="none" w:sz="0" w:space="0" w:color="auto"/>
                <w:left w:val="none" w:sz="0" w:space="0" w:color="auto"/>
                <w:bottom w:val="none" w:sz="0" w:space="0" w:color="auto"/>
                <w:right w:val="none" w:sz="0" w:space="0" w:color="auto"/>
              </w:divBdr>
              <w:divsChild>
                <w:div w:id="19670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9914">
      <w:bodyDiv w:val="1"/>
      <w:marLeft w:val="0"/>
      <w:marRight w:val="0"/>
      <w:marTop w:val="0"/>
      <w:marBottom w:val="0"/>
      <w:divBdr>
        <w:top w:val="none" w:sz="0" w:space="0" w:color="auto"/>
        <w:left w:val="none" w:sz="0" w:space="0" w:color="auto"/>
        <w:bottom w:val="none" w:sz="0" w:space="0" w:color="auto"/>
        <w:right w:val="none" w:sz="0" w:space="0" w:color="auto"/>
      </w:divBdr>
      <w:divsChild>
        <w:div w:id="760761792">
          <w:marLeft w:val="0"/>
          <w:marRight w:val="0"/>
          <w:marTop w:val="0"/>
          <w:marBottom w:val="0"/>
          <w:divBdr>
            <w:top w:val="none" w:sz="0" w:space="0" w:color="auto"/>
            <w:left w:val="none" w:sz="0" w:space="0" w:color="auto"/>
            <w:bottom w:val="none" w:sz="0" w:space="0" w:color="auto"/>
            <w:right w:val="none" w:sz="0" w:space="0" w:color="auto"/>
          </w:divBdr>
          <w:divsChild>
            <w:div w:id="432173168">
              <w:marLeft w:val="0"/>
              <w:marRight w:val="0"/>
              <w:marTop w:val="0"/>
              <w:marBottom w:val="0"/>
              <w:divBdr>
                <w:top w:val="none" w:sz="0" w:space="0" w:color="auto"/>
                <w:left w:val="none" w:sz="0" w:space="0" w:color="auto"/>
                <w:bottom w:val="none" w:sz="0" w:space="0" w:color="auto"/>
                <w:right w:val="none" w:sz="0" w:space="0" w:color="auto"/>
              </w:divBdr>
              <w:divsChild>
                <w:div w:id="16360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5604">
      <w:bodyDiv w:val="1"/>
      <w:marLeft w:val="0"/>
      <w:marRight w:val="0"/>
      <w:marTop w:val="0"/>
      <w:marBottom w:val="0"/>
      <w:divBdr>
        <w:top w:val="none" w:sz="0" w:space="0" w:color="auto"/>
        <w:left w:val="none" w:sz="0" w:space="0" w:color="auto"/>
        <w:bottom w:val="none" w:sz="0" w:space="0" w:color="auto"/>
        <w:right w:val="none" w:sz="0" w:space="0" w:color="auto"/>
      </w:divBdr>
      <w:divsChild>
        <w:div w:id="1709141712">
          <w:marLeft w:val="0"/>
          <w:marRight w:val="0"/>
          <w:marTop w:val="0"/>
          <w:marBottom w:val="0"/>
          <w:divBdr>
            <w:top w:val="none" w:sz="0" w:space="0" w:color="auto"/>
            <w:left w:val="none" w:sz="0" w:space="0" w:color="auto"/>
            <w:bottom w:val="none" w:sz="0" w:space="0" w:color="auto"/>
            <w:right w:val="none" w:sz="0" w:space="0" w:color="auto"/>
          </w:divBdr>
          <w:divsChild>
            <w:div w:id="1217157929">
              <w:marLeft w:val="0"/>
              <w:marRight w:val="0"/>
              <w:marTop w:val="0"/>
              <w:marBottom w:val="0"/>
              <w:divBdr>
                <w:top w:val="none" w:sz="0" w:space="0" w:color="auto"/>
                <w:left w:val="none" w:sz="0" w:space="0" w:color="auto"/>
                <w:bottom w:val="none" w:sz="0" w:space="0" w:color="auto"/>
                <w:right w:val="none" w:sz="0" w:space="0" w:color="auto"/>
              </w:divBdr>
              <w:divsChild>
                <w:div w:id="1610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0535">
      <w:bodyDiv w:val="1"/>
      <w:marLeft w:val="0"/>
      <w:marRight w:val="0"/>
      <w:marTop w:val="0"/>
      <w:marBottom w:val="0"/>
      <w:divBdr>
        <w:top w:val="none" w:sz="0" w:space="0" w:color="auto"/>
        <w:left w:val="none" w:sz="0" w:space="0" w:color="auto"/>
        <w:bottom w:val="none" w:sz="0" w:space="0" w:color="auto"/>
        <w:right w:val="none" w:sz="0" w:space="0" w:color="auto"/>
      </w:divBdr>
    </w:div>
    <w:div w:id="1432360980">
      <w:bodyDiv w:val="1"/>
      <w:marLeft w:val="0"/>
      <w:marRight w:val="0"/>
      <w:marTop w:val="0"/>
      <w:marBottom w:val="0"/>
      <w:divBdr>
        <w:top w:val="none" w:sz="0" w:space="0" w:color="auto"/>
        <w:left w:val="none" w:sz="0" w:space="0" w:color="auto"/>
        <w:bottom w:val="none" w:sz="0" w:space="0" w:color="auto"/>
        <w:right w:val="none" w:sz="0" w:space="0" w:color="auto"/>
      </w:divBdr>
      <w:divsChild>
        <w:div w:id="1285382890">
          <w:marLeft w:val="1166"/>
          <w:marRight w:val="0"/>
          <w:marTop w:val="67"/>
          <w:marBottom w:val="0"/>
          <w:divBdr>
            <w:top w:val="none" w:sz="0" w:space="0" w:color="auto"/>
            <w:left w:val="none" w:sz="0" w:space="0" w:color="auto"/>
            <w:bottom w:val="none" w:sz="0" w:space="0" w:color="auto"/>
            <w:right w:val="none" w:sz="0" w:space="0" w:color="auto"/>
          </w:divBdr>
        </w:div>
      </w:divsChild>
    </w:div>
    <w:div w:id="1444113384">
      <w:bodyDiv w:val="1"/>
      <w:marLeft w:val="0"/>
      <w:marRight w:val="0"/>
      <w:marTop w:val="0"/>
      <w:marBottom w:val="0"/>
      <w:divBdr>
        <w:top w:val="none" w:sz="0" w:space="0" w:color="auto"/>
        <w:left w:val="none" w:sz="0" w:space="0" w:color="auto"/>
        <w:bottom w:val="none" w:sz="0" w:space="0" w:color="auto"/>
        <w:right w:val="none" w:sz="0" w:space="0" w:color="auto"/>
      </w:divBdr>
      <w:divsChild>
        <w:div w:id="1577281345">
          <w:marLeft w:val="0"/>
          <w:marRight w:val="0"/>
          <w:marTop w:val="0"/>
          <w:marBottom w:val="0"/>
          <w:divBdr>
            <w:top w:val="none" w:sz="0" w:space="0" w:color="auto"/>
            <w:left w:val="none" w:sz="0" w:space="0" w:color="auto"/>
            <w:bottom w:val="none" w:sz="0" w:space="0" w:color="auto"/>
            <w:right w:val="none" w:sz="0" w:space="0" w:color="auto"/>
          </w:divBdr>
          <w:divsChild>
            <w:div w:id="1847474496">
              <w:marLeft w:val="0"/>
              <w:marRight w:val="0"/>
              <w:marTop w:val="0"/>
              <w:marBottom w:val="0"/>
              <w:divBdr>
                <w:top w:val="none" w:sz="0" w:space="0" w:color="auto"/>
                <w:left w:val="none" w:sz="0" w:space="0" w:color="auto"/>
                <w:bottom w:val="none" w:sz="0" w:space="0" w:color="auto"/>
                <w:right w:val="none" w:sz="0" w:space="0" w:color="auto"/>
              </w:divBdr>
              <w:divsChild>
                <w:div w:id="1734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2817">
      <w:bodyDiv w:val="1"/>
      <w:marLeft w:val="0"/>
      <w:marRight w:val="0"/>
      <w:marTop w:val="0"/>
      <w:marBottom w:val="0"/>
      <w:divBdr>
        <w:top w:val="none" w:sz="0" w:space="0" w:color="auto"/>
        <w:left w:val="none" w:sz="0" w:space="0" w:color="auto"/>
        <w:bottom w:val="none" w:sz="0" w:space="0" w:color="auto"/>
        <w:right w:val="none" w:sz="0" w:space="0" w:color="auto"/>
      </w:divBdr>
      <w:divsChild>
        <w:div w:id="1540316669">
          <w:marLeft w:val="0"/>
          <w:marRight w:val="0"/>
          <w:marTop w:val="0"/>
          <w:marBottom w:val="0"/>
          <w:divBdr>
            <w:top w:val="none" w:sz="0" w:space="0" w:color="auto"/>
            <w:left w:val="none" w:sz="0" w:space="0" w:color="auto"/>
            <w:bottom w:val="none" w:sz="0" w:space="0" w:color="auto"/>
            <w:right w:val="none" w:sz="0" w:space="0" w:color="auto"/>
          </w:divBdr>
          <w:divsChild>
            <w:div w:id="542450813">
              <w:marLeft w:val="0"/>
              <w:marRight w:val="0"/>
              <w:marTop w:val="0"/>
              <w:marBottom w:val="0"/>
              <w:divBdr>
                <w:top w:val="none" w:sz="0" w:space="0" w:color="auto"/>
                <w:left w:val="none" w:sz="0" w:space="0" w:color="auto"/>
                <w:bottom w:val="none" w:sz="0" w:space="0" w:color="auto"/>
                <w:right w:val="none" w:sz="0" w:space="0" w:color="auto"/>
              </w:divBdr>
              <w:divsChild>
                <w:div w:id="9717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3570">
      <w:bodyDiv w:val="1"/>
      <w:marLeft w:val="0"/>
      <w:marRight w:val="0"/>
      <w:marTop w:val="0"/>
      <w:marBottom w:val="0"/>
      <w:divBdr>
        <w:top w:val="none" w:sz="0" w:space="0" w:color="auto"/>
        <w:left w:val="none" w:sz="0" w:space="0" w:color="auto"/>
        <w:bottom w:val="none" w:sz="0" w:space="0" w:color="auto"/>
        <w:right w:val="none" w:sz="0" w:space="0" w:color="auto"/>
      </w:divBdr>
      <w:divsChild>
        <w:div w:id="1785609156">
          <w:marLeft w:val="0"/>
          <w:marRight w:val="0"/>
          <w:marTop w:val="0"/>
          <w:marBottom w:val="0"/>
          <w:divBdr>
            <w:top w:val="none" w:sz="0" w:space="0" w:color="auto"/>
            <w:left w:val="none" w:sz="0" w:space="0" w:color="auto"/>
            <w:bottom w:val="none" w:sz="0" w:space="0" w:color="auto"/>
            <w:right w:val="none" w:sz="0" w:space="0" w:color="auto"/>
          </w:divBdr>
          <w:divsChild>
            <w:div w:id="1442186723">
              <w:marLeft w:val="0"/>
              <w:marRight w:val="0"/>
              <w:marTop w:val="0"/>
              <w:marBottom w:val="0"/>
              <w:divBdr>
                <w:top w:val="none" w:sz="0" w:space="0" w:color="auto"/>
                <w:left w:val="none" w:sz="0" w:space="0" w:color="auto"/>
                <w:bottom w:val="none" w:sz="0" w:space="0" w:color="auto"/>
                <w:right w:val="none" w:sz="0" w:space="0" w:color="auto"/>
              </w:divBdr>
              <w:divsChild>
                <w:div w:id="10901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6552">
      <w:bodyDiv w:val="1"/>
      <w:marLeft w:val="0"/>
      <w:marRight w:val="0"/>
      <w:marTop w:val="0"/>
      <w:marBottom w:val="0"/>
      <w:divBdr>
        <w:top w:val="none" w:sz="0" w:space="0" w:color="auto"/>
        <w:left w:val="none" w:sz="0" w:space="0" w:color="auto"/>
        <w:bottom w:val="none" w:sz="0" w:space="0" w:color="auto"/>
        <w:right w:val="none" w:sz="0" w:space="0" w:color="auto"/>
      </w:divBdr>
      <w:divsChild>
        <w:div w:id="1795437510">
          <w:marLeft w:val="1166"/>
          <w:marRight w:val="0"/>
          <w:marTop w:val="72"/>
          <w:marBottom w:val="0"/>
          <w:divBdr>
            <w:top w:val="none" w:sz="0" w:space="0" w:color="auto"/>
            <w:left w:val="none" w:sz="0" w:space="0" w:color="auto"/>
            <w:bottom w:val="none" w:sz="0" w:space="0" w:color="auto"/>
            <w:right w:val="none" w:sz="0" w:space="0" w:color="auto"/>
          </w:divBdr>
        </w:div>
      </w:divsChild>
    </w:div>
    <w:div w:id="1499736472">
      <w:bodyDiv w:val="1"/>
      <w:marLeft w:val="0"/>
      <w:marRight w:val="0"/>
      <w:marTop w:val="0"/>
      <w:marBottom w:val="0"/>
      <w:divBdr>
        <w:top w:val="none" w:sz="0" w:space="0" w:color="auto"/>
        <w:left w:val="none" w:sz="0" w:space="0" w:color="auto"/>
        <w:bottom w:val="none" w:sz="0" w:space="0" w:color="auto"/>
        <w:right w:val="none" w:sz="0" w:space="0" w:color="auto"/>
      </w:divBdr>
      <w:divsChild>
        <w:div w:id="411463610">
          <w:marLeft w:val="0"/>
          <w:marRight w:val="0"/>
          <w:marTop w:val="0"/>
          <w:marBottom w:val="0"/>
          <w:divBdr>
            <w:top w:val="none" w:sz="0" w:space="0" w:color="auto"/>
            <w:left w:val="none" w:sz="0" w:space="0" w:color="auto"/>
            <w:bottom w:val="none" w:sz="0" w:space="0" w:color="auto"/>
            <w:right w:val="none" w:sz="0" w:space="0" w:color="auto"/>
          </w:divBdr>
          <w:divsChild>
            <w:div w:id="435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635">
      <w:bodyDiv w:val="1"/>
      <w:marLeft w:val="0"/>
      <w:marRight w:val="0"/>
      <w:marTop w:val="0"/>
      <w:marBottom w:val="0"/>
      <w:divBdr>
        <w:top w:val="none" w:sz="0" w:space="0" w:color="auto"/>
        <w:left w:val="none" w:sz="0" w:space="0" w:color="auto"/>
        <w:bottom w:val="none" w:sz="0" w:space="0" w:color="auto"/>
        <w:right w:val="none" w:sz="0" w:space="0" w:color="auto"/>
      </w:divBdr>
      <w:divsChild>
        <w:div w:id="470295660">
          <w:marLeft w:val="0"/>
          <w:marRight w:val="0"/>
          <w:marTop w:val="0"/>
          <w:marBottom w:val="0"/>
          <w:divBdr>
            <w:top w:val="none" w:sz="0" w:space="0" w:color="auto"/>
            <w:left w:val="none" w:sz="0" w:space="0" w:color="auto"/>
            <w:bottom w:val="none" w:sz="0" w:space="0" w:color="auto"/>
            <w:right w:val="none" w:sz="0" w:space="0" w:color="auto"/>
          </w:divBdr>
          <w:divsChild>
            <w:div w:id="719328461">
              <w:marLeft w:val="0"/>
              <w:marRight w:val="0"/>
              <w:marTop w:val="0"/>
              <w:marBottom w:val="0"/>
              <w:divBdr>
                <w:top w:val="none" w:sz="0" w:space="0" w:color="auto"/>
                <w:left w:val="none" w:sz="0" w:space="0" w:color="auto"/>
                <w:bottom w:val="none" w:sz="0" w:space="0" w:color="auto"/>
                <w:right w:val="none" w:sz="0" w:space="0" w:color="auto"/>
              </w:divBdr>
              <w:divsChild>
                <w:div w:id="13220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3743">
      <w:bodyDiv w:val="1"/>
      <w:marLeft w:val="0"/>
      <w:marRight w:val="0"/>
      <w:marTop w:val="0"/>
      <w:marBottom w:val="0"/>
      <w:divBdr>
        <w:top w:val="none" w:sz="0" w:space="0" w:color="auto"/>
        <w:left w:val="none" w:sz="0" w:space="0" w:color="auto"/>
        <w:bottom w:val="none" w:sz="0" w:space="0" w:color="auto"/>
        <w:right w:val="none" w:sz="0" w:space="0" w:color="auto"/>
      </w:divBdr>
      <w:divsChild>
        <w:div w:id="2135244563">
          <w:marLeft w:val="0"/>
          <w:marRight w:val="0"/>
          <w:marTop w:val="0"/>
          <w:marBottom w:val="0"/>
          <w:divBdr>
            <w:top w:val="none" w:sz="0" w:space="0" w:color="auto"/>
            <w:left w:val="none" w:sz="0" w:space="0" w:color="auto"/>
            <w:bottom w:val="none" w:sz="0" w:space="0" w:color="auto"/>
            <w:right w:val="none" w:sz="0" w:space="0" w:color="auto"/>
          </w:divBdr>
          <w:divsChild>
            <w:div w:id="1475758105">
              <w:marLeft w:val="0"/>
              <w:marRight w:val="0"/>
              <w:marTop w:val="0"/>
              <w:marBottom w:val="0"/>
              <w:divBdr>
                <w:top w:val="none" w:sz="0" w:space="0" w:color="auto"/>
                <w:left w:val="none" w:sz="0" w:space="0" w:color="auto"/>
                <w:bottom w:val="none" w:sz="0" w:space="0" w:color="auto"/>
                <w:right w:val="none" w:sz="0" w:space="0" w:color="auto"/>
              </w:divBdr>
              <w:divsChild>
                <w:div w:id="1911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1650">
      <w:bodyDiv w:val="1"/>
      <w:marLeft w:val="0"/>
      <w:marRight w:val="0"/>
      <w:marTop w:val="0"/>
      <w:marBottom w:val="0"/>
      <w:divBdr>
        <w:top w:val="none" w:sz="0" w:space="0" w:color="auto"/>
        <w:left w:val="none" w:sz="0" w:space="0" w:color="auto"/>
        <w:bottom w:val="none" w:sz="0" w:space="0" w:color="auto"/>
        <w:right w:val="none" w:sz="0" w:space="0" w:color="auto"/>
      </w:divBdr>
      <w:divsChild>
        <w:div w:id="1609849213">
          <w:marLeft w:val="0"/>
          <w:marRight w:val="0"/>
          <w:marTop w:val="0"/>
          <w:marBottom w:val="0"/>
          <w:divBdr>
            <w:top w:val="none" w:sz="0" w:space="0" w:color="auto"/>
            <w:left w:val="none" w:sz="0" w:space="0" w:color="auto"/>
            <w:bottom w:val="none" w:sz="0" w:space="0" w:color="auto"/>
            <w:right w:val="none" w:sz="0" w:space="0" w:color="auto"/>
          </w:divBdr>
        </w:div>
        <w:div w:id="955983925">
          <w:marLeft w:val="0"/>
          <w:marRight w:val="0"/>
          <w:marTop w:val="0"/>
          <w:marBottom w:val="0"/>
          <w:divBdr>
            <w:top w:val="none" w:sz="0" w:space="0" w:color="auto"/>
            <w:left w:val="none" w:sz="0" w:space="0" w:color="auto"/>
            <w:bottom w:val="none" w:sz="0" w:space="0" w:color="auto"/>
            <w:right w:val="none" w:sz="0" w:space="0" w:color="auto"/>
          </w:divBdr>
        </w:div>
        <w:div w:id="92627660">
          <w:marLeft w:val="0"/>
          <w:marRight w:val="0"/>
          <w:marTop w:val="0"/>
          <w:marBottom w:val="0"/>
          <w:divBdr>
            <w:top w:val="none" w:sz="0" w:space="0" w:color="auto"/>
            <w:left w:val="none" w:sz="0" w:space="0" w:color="auto"/>
            <w:bottom w:val="none" w:sz="0" w:space="0" w:color="auto"/>
            <w:right w:val="none" w:sz="0" w:space="0" w:color="auto"/>
          </w:divBdr>
        </w:div>
      </w:divsChild>
    </w:div>
    <w:div w:id="1647078121">
      <w:bodyDiv w:val="1"/>
      <w:marLeft w:val="0"/>
      <w:marRight w:val="0"/>
      <w:marTop w:val="0"/>
      <w:marBottom w:val="0"/>
      <w:divBdr>
        <w:top w:val="none" w:sz="0" w:space="0" w:color="auto"/>
        <w:left w:val="none" w:sz="0" w:space="0" w:color="auto"/>
        <w:bottom w:val="none" w:sz="0" w:space="0" w:color="auto"/>
        <w:right w:val="none" w:sz="0" w:space="0" w:color="auto"/>
      </w:divBdr>
      <w:divsChild>
        <w:div w:id="311719356">
          <w:marLeft w:val="0"/>
          <w:marRight w:val="0"/>
          <w:marTop w:val="0"/>
          <w:marBottom w:val="0"/>
          <w:divBdr>
            <w:top w:val="none" w:sz="0" w:space="0" w:color="auto"/>
            <w:left w:val="none" w:sz="0" w:space="0" w:color="auto"/>
            <w:bottom w:val="none" w:sz="0" w:space="0" w:color="auto"/>
            <w:right w:val="none" w:sz="0" w:space="0" w:color="auto"/>
          </w:divBdr>
          <w:divsChild>
            <w:div w:id="1748380789">
              <w:marLeft w:val="0"/>
              <w:marRight w:val="0"/>
              <w:marTop w:val="0"/>
              <w:marBottom w:val="0"/>
              <w:divBdr>
                <w:top w:val="none" w:sz="0" w:space="0" w:color="auto"/>
                <w:left w:val="none" w:sz="0" w:space="0" w:color="auto"/>
                <w:bottom w:val="none" w:sz="0" w:space="0" w:color="auto"/>
                <w:right w:val="none" w:sz="0" w:space="0" w:color="auto"/>
              </w:divBdr>
              <w:divsChild>
                <w:div w:id="14749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634">
      <w:bodyDiv w:val="1"/>
      <w:marLeft w:val="0"/>
      <w:marRight w:val="0"/>
      <w:marTop w:val="0"/>
      <w:marBottom w:val="0"/>
      <w:divBdr>
        <w:top w:val="none" w:sz="0" w:space="0" w:color="auto"/>
        <w:left w:val="none" w:sz="0" w:space="0" w:color="auto"/>
        <w:bottom w:val="none" w:sz="0" w:space="0" w:color="auto"/>
        <w:right w:val="none" w:sz="0" w:space="0" w:color="auto"/>
      </w:divBdr>
      <w:divsChild>
        <w:div w:id="1420711987">
          <w:marLeft w:val="0"/>
          <w:marRight w:val="0"/>
          <w:marTop w:val="0"/>
          <w:marBottom w:val="0"/>
          <w:divBdr>
            <w:top w:val="none" w:sz="0" w:space="0" w:color="auto"/>
            <w:left w:val="none" w:sz="0" w:space="0" w:color="auto"/>
            <w:bottom w:val="none" w:sz="0" w:space="0" w:color="auto"/>
            <w:right w:val="none" w:sz="0" w:space="0" w:color="auto"/>
          </w:divBdr>
        </w:div>
        <w:div w:id="976108820">
          <w:marLeft w:val="0"/>
          <w:marRight w:val="0"/>
          <w:marTop w:val="0"/>
          <w:marBottom w:val="0"/>
          <w:divBdr>
            <w:top w:val="none" w:sz="0" w:space="0" w:color="auto"/>
            <w:left w:val="none" w:sz="0" w:space="0" w:color="auto"/>
            <w:bottom w:val="none" w:sz="0" w:space="0" w:color="auto"/>
            <w:right w:val="none" w:sz="0" w:space="0" w:color="auto"/>
          </w:divBdr>
        </w:div>
        <w:div w:id="1307080691">
          <w:marLeft w:val="0"/>
          <w:marRight w:val="0"/>
          <w:marTop w:val="0"/>
          <w:marBottom w:val="0"/>
          <w:divBdr>
            <w:top w:val="none" w:sz="0" w:space="0" w:color="auto"/>
            <w:left w:val="none" w:sz="0" w:space="0" w:color="auto"/>
            <w:bottom w:val="none" w:sz="0" w:space="0" w:color="auto"/>
            <w:right w:val="none" w:sz="0" w:space="0" w:color="auto"/>
          </w:divBdr>
        </w:div>
      </w:divsChild>
    </w:div>
    <w:div w:id="1659529050">
      <w:bodyDiv w:val="1"/>
      <w:marLeft w:val="0"/>
      <w:marRight w:val="0"/>
      <w:marTop w:val="0"/>
      <w:marBottom w:val="0"/>
      <w:divBdr>
        <w:top w:val="none" w:sz="0" w:space="0" w:color="auto"/>
        <w:left w:val="none" w:sz="0" w:space="0" w:color="auto"/>
        <w:bottom w:val="none" w:sz="0" w:space="0" w:color="auto"/>
        <w:right w:val="none" w:sz="0" w:space="0" w:color="auto"/>
      </w:divBdr>
    </w:div>
    <w:div w:id="1659723002">
      <w:bodyDiv w:val="1"/>
      <w:marLeft w:val="0"/>
      <w:marRight w:val="0"/>
      <w:marTop w:val="0"/>
      <w:marBottom w:val="0"/>
      <w:divBdr>
        <w:top w:val="none" w:sz="0" w:space="0" w:color="auto"/>
        <w:left w:val="none" w:sz="0" w:space="0" w:color="auto"/>
        <w:bottom w:val="none" w:sz="0" w:space="0" w:color="auto"/>
        <w:right w:val="none" w:sz="0" w:space="0" w:color="auto"/>
      </w:divBdr>
      <w:divsChild>
        <w:div w:id="1604998009">
          <w:marLeft w:val="1166"/>
          <w:marRight w:val="0"/>
          <w:marTop w:val="86"/>
          <w:marBottom w:val="0"/>
          <w:divBdr>
            <w:top w:val="none" w:sz="0" w:space="0" w:color="auto"/>
            <w:left w:val="none" w:sz="0" w:space="0" w:color="auto"/>
            <w:bottom w:val="none" w:sz="0" w:space="0" w:color="auto"/>
            <w:right w:val="none" w:sz="0" w:space="0" w:color="auto"/>
          </w:divBdr>
        </w:div>
      </w:divsChild>
    </w:div>
    <w:div w:id="1693679187">
      <w:bodyDiv w:val="1"/>
      <w:marLeft w:val="0"/>
      <w:marRight w:val="0"/>
      <w:marTop w:val="0"/>
      <w:marBottom w:val="0"/>
      <w:divBdr>
        <w:top w:val="none" w:sz="0" w:space="0" w:color="auto"/>
        <w:left w:val="none" w:sz="0" w:space="0" w:color="auto"/>
        <w:bottom w:val="none" w:sz="0" w:space="0" w:color="auto"/>
        <w:right w:val="none" w:sz="0" w:space="0" w:color="auto"/>
      </w:divBdr>
      <w:divsChild>
        <w:div w:id="709111263">
          <w:marLeft w:val="0"/>
          <w:marRight w:val="0"/>
          <w:marTop w:val="0"/>
          <w:marBottom w:val="0"/>
          <w:divBdr>
            <w:top w:val="none" w:sz="0" w:space="0" w:color="auto"/>
            <w:left w:val="none" w:sz="0" w:space="0" w:color="auto"/>
            <w:bottom w:val="none" w:sz="0" w:space="0" w:color="auto"/>
            <w:right w:val="none" w:sz="0" w:space="0" w:color="auto"/>
          </w:divBdr>
          <w:divsChild>
            <w:div w:id="1581868510">
              <w:marLeft w:val="0"/>
              <w:marRight w:val="0"/>
              <w:marTop w:val="0"/>
              <w:marBottom w:val="0"/>
              <w:divBdr>
                <w:top w:val="none" w:sz="0" w:space="0" w:color="auto"/>
                <w:left w:val="none" w:sz="0" w:space="0" w:color="auto"/>
                <w:bottom w:val="none" w:sz="0" w:space="0" w:color="auto"/>
                <w:right w:val="none" w:sz="0" w:space="0" w:color="auto"/>
              </w:divBdr>
              <w:divsChild>
                <w:div w:id="12669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1922">
      <w:bodyDiv w:val="1"/>
      <w:marLeft w:val="0"/>
      <w:marRight w:val="0"/>
      <w:marTop w:val="0"/>
      <w:marBottom w:val="0"/>
      <w:divBdr>
        <w:top w:val="none" w:sz="0" w:space="0" w:color="auto"/>
        <w:left w:val="none" w:sz="0" w:space="0" w:color="auto"/>
        <w:bottom w:val="none" w:sz="0" w:space="0" w:color="auto"/>
        <w:right w:val="none" w:sz="0" w:space="0" w:color="auto"/>
      </w:divBdr>
      <w:divsChild>
        <w:div w:id="583105994">
          <w:marLeft w:val="0"/>
          <w:marRight w:val="0"/>
          <w:marTop w:val="0"/>
          <w:marBottom w:val="0"/>
          <w:divBdr>
            <w:top w:val="none" w:sz="0" w:space="0" w:color="auto"/>
            <w:left w:val="none" w:sz="0" w:space="0" w:color="auto"/>
            <w:bottom w:val="none" w:sz="0" w:space="0" w:color="auto"/>
            <w:right w:val="none" w:sz="0" w:space="0" w:color="auto"/>
          </w:divBdr>
          <w:divsChild>
            <w:div w:id="902329226">
              <w:marLeft w:val="0"/>
              <w:marRight w:val="0"/>
              <w:marTop w:val="0"/>
              <w:marBottom w:val="0"/>
              <w:divBdr>
                <w:top w:val="none" w:sz="0" w:space="0" w:color="auto"/>
                <w:left w:val="none" w:sz="0" w:space="0" w:color="auto"/>
                <w:bottom w:val="none" w:sz="0" w:space="0" w:color="auto"/>
                <w:right w:val="none" w:sz="0" w:space="0" w:color="auto"/>
              </w:divBdr>
              <w:divsChild>
                <w:div w:id="14248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7930">
      <w:bodyDiv w:val="1"/>
      <w:marLeft w:val="0"/>
      <w:marRight w:val="0"/>
      <w:marTop w:val="0"/>
      <w:marBottom w:val="0"/>
      <w:divBdr>
        <w:top w:val="none" w:sz="0" w:space="0" w:color="auto"/>
        <w:left w:val="none" w:sz="0" w:space="0" w:color="auto"/>
        <w:bottom w:val="none" w:sz="0" w:space="0" w:color="auto"/>
        <w:right w:val="none" w:sz="0" w:space="0" w:color="auto"/>
      </w:divBdr>
      <w:divsChild>
        <w:div w:id="1391808624">
          <w:marLeft w:val="0"/>
          <w:marRight w:val="0"/>
          <w:marTop w:val="0"/>
          <w:marBottom w:val="0"/>
          <w:divBdr>
            <w:top w:val="none" w:sz="0" w:space="0" w:color="auto"/>
            <w:left w:val="none" w:sz="0" w:space="0" w:color="auto"/>
            <w:bottom w:val="none" w:sz="0" w:space="0" w:color="auto"/>
            <w:right w:val="none" w:sz="0" w:space="0" w:color="auto"/>
          </w:divBdr>
        </w:div>
        <w:div w:id="1769504234">
          <w:marLeft w:val="0"/>
          <w:marRight w:val="0"/>
          <w:marTop w:val="0"/>
          <w:marBottom w:val="0"/>
          <w:divBdr>
            <w:top w:val="none" w:sz="0" w:space="0" w:color="auto"/>
            <w:left w:val="none" w:sz="0" w:space="0" w:color="auto"/>
            <w:bottom w:val="none" w:sz="0" w:space="0" w:color="auto"/>
            <w:right w:val="none" w:sz="0" w:space="0" w:color="auto"/>
          </w:divBdr>
        </w:div>
        <w:div w:id="448551382">
          <w:marLeft w:val="0"/>
          <w:marRight w:val="0"/>
          <w:marTop w:val="0"/>
          <w:marBottom w:val="0"/>
          <w:divBdr>
            <w:top w:val="none" w:sz="0" w:space="0" w:color="auto"/>
            <w:left w:val="none" w:sz="0" w:space="0" w:color="auto"/>
            <w:bottom w:val="none" w:sz="0" w:space="0" w:color="auto"/>
            <w:right w:val="none" w:sz="0" w:space="0" w:color="auto"/>
          </w:divBdr>
        </w:div>
        <w:div w:id="2116779945">
          <w:marLeft w:val="0"/>
          <w:marRight w:val="0"/>
          <w:marTop w:val="0"/>
          <w:marBottom w:val="0"/>
          <w:divBdr>
            <w:top w:val="none" w:sz="0" w:space="0" w:color="auto"/>
            <w:left w:val="none" w:sz="0" w:space="0" w:color="auto"/>
            <w:bottom w:val="none" w:sz="0" w:space="0" w:color="auto"/>
            <w:right w:val="none" w:sz="0" w:space="0" w:color="auto"/>
          </w:divBdr>
        </w:div>
        <w:div w:id="574168889">
          <w:marLeft w:val="0"/>
          <w:marRight w:val="0"/>
          <w:marTop w:val="0"/>
          <w:marBottom w:val="0"/>
          <w:divBdr>
            <w:top w:val="none" w:sz="0" w:space="0" w:color="auto"/>
            <w:left w:val="none" w:sz="0" w:space="0" w:color="auto"/>
            <w:bottom w:val="none" w:sz="0" w:space="0" w:color="auto"/>
            <w:right w:val="none" w:sz="0" w:space="0" w:color="auto"/>
          </w:divBdr>
        </w:div>
        <w:div w:id="1627274741">
          <w:marLeft w:val="0"/>
          <w:marRight w:val="0"/>
          <w:marTop w:val="0"/>
          <w:marBottom w:val="0"/>
          <w:divBdr>
            <w:top w:val="none" w:sz="0" w:space="0" w:color="auto"/>
            <w:left w:val="none" w:sz="0" w:space="0" w:color="auto"/>
            <w:bottom w:val="none" w:sz="0" w:space="0" w:color="auto"/>
            <w:right w:val="none" w:sz="0" w:space="0" w:color="auto"/>
          </w:divBdr>
        </w:div>
        <w:div w:id="1735349317">
          <w:marLeft w:val="0"/>
          <w:marRight w:val="0"/>
          <w:marTop w:val="0"/>
          <w:marBottom w:val="0"/>
          <w:divBdr>
            <w:top w:val="none" w:sz="0" w:space="0" w:color="auto"/>
            <w:left w:val="none" w:sz="0" w:space="0" w:color="auto"/>
            <w:bottom w:val="none" w:sz="0" w:space="0" w:color="auto"/>
            <w:right w:val="none" w:sz="0" w:space="0" w:color="auto"/>
          </w:divBdr>
        </w:div>
        <w:div w:id="1941374616">
          <w:marLeft w:val="0"/>
          <w:marRight w:val="0"/>
          <w:marTop w:val="0"/>
          <w:marBottom w:val="0"/>
          <w:divBdr>
            <w:top w:val="none" w:sz="0" w:space="0" w:color="auto"/>
            <w:left w:val="none" w:sz="0" w:space="0" w:color="auto"/>
            <w:bottom w:val="none" w:sz="0" w:space="0" w:color="auto"/>
            <w:right w:val="none" w:sz="0" w:space="0" w:color="auto"/>
          </w:divBdr>
        </w:div>
        <w:div w:id="242495086">
          <w:marLeft w:val="0"/>
          <w:marRight w:val="0"/>
          <w:marTop w:val="0"/>
          <w:marBottom w:val="0"/>
          <w:divBdr>
            <w:top w:val="none" w:sz="0" w:space="0" w:color="auto"/>
            <w:left w:val="none" w:sz="0" w:space="0" w:color="auto"/>
            <w:bottom w:val="none" w:sz="0" w:space="0" w:color="auto"/>
            <w:right w:val="none" w:sz="0" w:space="0" w:color="auto"/>
          </w:divBdr>
        </w:div>
        <w:div w:id="1276058013">
          <w:marLeft w:val="0"/>
          <w:marRight w:val="0"/>
          <w:marTop w:val="0"/>
          <w:marBottom w:val="0"/>
          <w:divBdr>
            <w:top w:val="none" w:sz="0" w:space="0" w:color="auto"/>
            <w:left w:val="none" w:sz="0" w:space="0" w:color="auto"/>
            <w:bottom w:val="none" w:sz="0" w:space="0" w:color="auto"/>
            <w:right w:val="none" w:sz="0" w:space="0" w:color="auto"/>
          </w:divBdr>
        </w:div>
        <w:div w:id="876508531">
          <w:marLeft w:val="0"/>
          <w:marRight w:val="0"/>
          <w:marTop w:val="0"/>
          <w:marBottom w:val="0"/>
          <w:divBdr>
            <w:top w:val="none" w:sz="0" w:space="0" w:color="auto"/>
            <w:left w:val="none" w:sz="0" w:space="0" w:color="auto"/>
            <w:bottom w:val="none" w:sz="0" w:space="0" w:color="auto"/>
            <w:right w:val="none" w:sz="0" w:space="0" w:color="auto"/>
          </w:divBdr>
        </w:div>
        <w:div w:id="1900434440">
          <w:marLeft w:val="0"/>
          <w:marRight w:val="0"/>
          <w:marTop w:val="0"/>
          <w:marBottom w:val="0"/>
          <w:divBdr>
            <w:top w:val="none" w:sz="0" w:space="0" w:color="auto"/>
            <w:left w:val="none" w:sz="0" w:space="0" w:color="auto"/>
            <w:bottom w:val="none" w:sz="0" w:space="0" w:color="auto"/>
            <w:right w:val="none" w:sz="0" w:space="0" w:color="auto"/>
          </w:divBdr>
        </w:div>
      </w:divsChild>
    </w:div>
    <w:div w:id="17916271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798">
          <w:marLeft w:val="0"/>
          <w:marRight w:val="0"/>
          <w:marTop w:val="0"/>
          <w:marBottom w:val="0"/>
          <w:divBdr>
            <w:top w:val="none" w:sz="0" w:space="0" w:color="auto"/>
            <w:left w:val="none" w:sz="0" w:space="0" w:color="auto"/>
            <w:bottom w:val="none" w:sz="0" w:space="0" w:color="auto"/>
            <w:right w:val="none" w:sz="0" w:space="0" w:color="auto"/>
          </w:divBdr>
          <w:divsChild>
            <w:div w:id="1895770537">
              <w:marLeft w:val="0"/>
              <w:marRight w:val="0"/>
              <w:marTop w:val="0"/>
              <w:marBottom w:val="0"/>
              <w:divBdr>
                <w:top w:val="none" w:sz="0" w:space="0" w:color="auto"/>
                <w:left w:val="none" w:sz="0" w:space="0" w:color="auto"/>
                <w:bottom w:val="none" w:sz="0" w:space="0" w:color="auto"/>
                <w:right w:val="none" w:sz="0" w:space="0" w:color="auto"/>
              </w:divBdr>
              <w:divsChild>
                <w:div w:id="1315720987">
                  <w:marLeft w:val="0"/>
                  <w:marRight w:val="0"/>
                  <w:marTop w:val="0"/>
                  <w:marBottom w:val="0"/>
                  <w:divBdr>
                    <w:top w:val="none" w:sz="0" w:space="0" w:color="auto"/>
                    <w:left w:val="none" w:sz="0" w:space="0" w:color="auto"/>
                    <w:bottom w:val="none" w:sz="0" w:space="0" w:color="auto"/>
                    <w:right w:val="none" w:sz="0" w:space="0" w:color="auto"/>
                  </w:divBdr>
                  <w:divsChild>
                    <w:div w:id="7563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1734">
      <w:bodyDiv w:val="1"/>
      <w:marLeft w:val="0"/>
      <w:marRight w:val="0"/>
      <w:marTop w:val="0"/>
      <w:marBottom w:val="0"/>
      <w:divBdr>
        <w:top w:val="none" w:sz="0" w:space="0" w:color="auto"/>
        <w:left w:val="none" w:sz="0" w:space="0" w:color="auto"/>
        <w:bottom w:val="none" w:sz="0" w:space="0" w:color="auto"/>
        <w:right w:val="none" w:sz="0" w:space="0" w:color="auto"/>
      </w:divBdr>
      <w:divsChild>
        <w:div w:id="942693268">
          <w:marLeft w:val="0"/>
          <w:marRight w:val="0"/>
          <w:marTop w:val="0"/>
          <w:marBottom w:val="0"/>
          <w:divBdr>
            <w:top w:val="none" w:sz="0" w:space="0" w:color="auto"/>
            <w:left w:val="none" w:sz="0" w:space="0" w:color="auto"/>
            <w:bottom w:val="none" w:sz="0" w:space="0" w:color="auto"/>
            <w:right w:val="none" w:sz="0" w:space="0" w:color="auto"/>
          </w:divBdr>
          <w:divsChild>
            <w:div w:id="985671027">
              <w:marLeft w:val="0"/>
              <w:marRight w:val="0"/>
              <w:marTop w:val="0"/>
              <w:marBottom w:val="0"/>
              <w:divBdr>
                <w:top w:val="none" w:sz="0" w:space="0" w:color="auto"/>
                <w:left w:val="none" w:sz="0" w:space="0" w:color="auto"/>
                <w:bottom w:val="none" w:sz="0" w:space="0" w:color="auto"/>
                <w:right w:val="none" w:sz="0" w:space="0" w:color="auto"/>
              </w:divBdr>
              <w:divsChild>
                <w:div w:id="727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29285">
      <w:bodyDiv w:val="1"/>
      <w:marLeft w:val="0"/>
      <w:marRight w:val="0"/>
      <w:marTop w:val="0"/>
      <w:marBottom w:val="0"/>
      <w:divBdr>
        <w:top w:val="none" w:sz="0" w:space="0" w:color="auto"/>
        <w:left w:val="none" w:sz="0" w:space="0" w:color="auto"/>
        <w:bottom w:val="none" w:sz="0" w:space="0" w:color="auto"/>
        <w:right w:val="none" w:sz="0" w:space="0" w:color="auto"/>
      </w:divBdr>
      <w:divsChild>
        <w:div w:id="473521161">
          <w:marLeft w:val="0"/>
          <w:marRight w:val="0"/>
          <w:marTop w:val="0"/>
          <w:marBottom w:val="0"/>
          <w:divBdr>
            <w:top w:val="none" w:sz="0" w:space="0" w:color="auto"/>
            <w:left w:val="none" w:sz="0" w:space="0" w:color="auto"/>
            <w:bottom w:val="none" w:sz="0" w:space="0" w:color="auto"/>
            <w:right w:val="none" w:sz="0" w:space="0" w:color="auto"/>
          </w:divBdr>
          <w:divsChild>
            <w:div w:id="1147164826">
              <w:marLeft w:val="0"/>
              <w:marRight w:val="0"/>
              <w:marTop w:val="0"/>
              <w:marBottom w:val="0"/>
              <w:divBdr>
                <w:top w:val="none" w:sz="0" w:space="0" w:color="auto"/>
                <w:left w:val="none" w:sz="0" w:space="0" w:color="auto"/>
                <w:bottom w:val="none" w:sz="0" w:space="0" w:color="auto"/>
                <w:right w:val="none" w:sz="0" w:space="0" w:color="auto"/>
              </w:divBdr>
              <w:divsChild>
                <w:div w:id="16793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769">
      <w:bodyDiv w:val="1"/>
      <w:marLeft w:val="0"/>
      <w:marRight w:val="0"/>
      <w:marTop w:val="0"/>
      <w:marBottom w:val="0"/>
      <w:divBdr>
        <w:top w:val="none" w:sz="0" w:space="0" w:color="auto"/>
        <w:left w:val="none" w:sz="0" w:space="0" w:color="auto"/>
        <w:bottom w:val="none" w:sz="0" w:space="0" w:color="auto"/>
        <w:right w:val="none" w:sz="0" w:space="0" w:color="auto"/>
      </w:divBdr>
      <w:divsChild>
        <w:div w:id="1440372728">
          <w:marLeft w:val="0"/>
          <w:marRight w:val="0"/>
          <w:marTop w:val="0"/>
          <w:marBottom w:val="0"/>
          <w:divBdr>
            <w:top w:val="none" w:sz="0" w:space="0" w:color="auto"/>
            <w:left w:val="none" w:sz="0" w:space="0" w:color="auto"/>
            <w:bottom w:val="none" w:sz="0" w:space="0" w:color="auto"/>
            <w:right w:val="none" w:sz="0" w:space="0" w:color="auto"/>
          </w:divBdr>
          <w:divsChild>
            <w:div w:id="1268389608">
              <w:marLeft w:val="0"/>
              <w:marRight w:val="0"/>
              <w:marTop w:val="0"/>
              <w:marBottom w:val="0"/>
              <w:divBdr>
                <w:top w:val="none" w:sz="0" w:space="0" w:color="auto"/>
                <w:left w:val="none" w:sz="0" w:space="0" w:color="auto"/>
                <w:bottom w:val="none" w:sz="0" w:space="0" w:color="auto"/>
                <w:right w:val="none" w:sz="0" w:space="0" w:color="auto"/>
              </w:divBdr>
              <w:divsChild>
                <w:div w:id="2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4487">
      <w:bodyDiv w:val="1"/>
      <w:marLeft w:val="0"/>
      <w:marRight w:val="0"/>
      <w:marTop w:val="0"/>
      <w:marBottom w:val="0"/>
      <w:divBdr>
        <w:top w:val="none" w:sz="0" w:space="0" w:color="auto"/>
        <w:left w:val="none" w:sz="0" w:space="0" w:color="auto"/>
        <w:bottom w:val="none" w:sz="0" w:space="0" w:color="auto"/>
        <w:right w:val="none" w:sz="0" w:space="0" w:color="auto"/>
      </w:divBdr>
      <w:divsChild>
        <w:div w:id="50429513">
          <w:marLeft w:val="0"/>
          <w:marRight w:val="0"/>
          <w:marTop w:val="0"/>
          <w:marBottom w:val="0"/>
          <w:divBdr>
            <w:top w:val="none" w:sz="0" w:space="0" w:color="auto"/>
            <w:left w:val="none" w:sz="0" w:space="0" w:color="auto"/>
            <w:bottom w:val="none" w:sz="0" w:space="0" w:color="auto"/>
            <w:right w:val="none" w:sz="0" w:space="0" w:color="auto"/>
          </w:divBdr>
          <w:divsChild>
            <w:div w:id="1113522346">
              <w:marLeft w:val="0"/>
              <w:marRight w:val="0"/>
              <w:marTop w:val="0"/>
              <w:marBottom w:val="0"/>
              <w:divBdr>
                <w:top w:val="none" w:sz="0" w:space="0" w:color="auto"/>
                <w:left w:val="none" w:sz="0" w:space="0" w:color="auto"/>
                <w:bottom w:val="none" w:sz="0" w:space="0" w:color="auto"/>
                <w:right w:val="none" w:sz="0" w:space="0" w:color="auto"/>
              </w:divBdr>
              <w:divsChild>
                <w:div w:id="1526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2293">
      <w:bodyDiv w:val="1"/>
      <w:marLeft w:val="0"/>
      <w:marRight w:val="0"/>
      <w:marTop w:val="0"/>
      <w:marBottom w:val="0"/>
      <w:divBdr>
        <w:top w:val="none" w:sz="0" w:space="0" w:color="auto"/>
        <w:left w:val="none" w:sz="0" w:space="0" w:color="auto"/>
        <w:bottom w:val="none" w:sz="0" w:space="0" w:color="auto"/>
        <w:right w:val="none" w:sz="0" w:space="0" w:color="auto"/>
      </w:divBdr>
      <w:divsChild>
        <w:div w:id="1613515787">
          <w:marLeft w:val="0"/>
          <w:marRight w:val="0"/>
          <w:marTop w:val="0"/>
          <w:marBottom w:val="0"/>
          <w:divBdr>
            <w:top w:val="none" w:sz="0" w:space="0" w:color="auto"/>
            <w:left w:val="none" w:sz="0" w:space="0" w:color="auto"/>
            <w:bottom w:val="none" w:sz="0" w:space="0" w:color="auto"/>
            <w:right w:val="none" w:sz="0" w:space="0" w:color="auto"/>
          </w:divBdr>
          <w:divsChild>
            <w:div w:id="158690734">
              <w:marLeft w:val="0"/>
              <w:marRight w:val="0"/>
              <w:marTop w:val="0"/>
              <w:marBottom w:val="0"/>
              <w:divBdr>
                <w:top w:val="none" w:sz="0" w:space="0" w:color="auto"/>
                <w:left w:val="none" w:sz="0" w:space="0" w:color="auto"/>
                <w:bottom w:val="none" w:sz="0" w:space="0" w:color="auto"/>
                <w:right w:val="none" w:sz="0" w:space="0" w:color="auto"/>
              </w:divBdr>
              <w:divsChild>
                <w:div w:id="8203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0997">
      <w:bodyDiv w:val="1"/>
      <w:marLeft w:val="0"/>
      <w:marRight w:val="0"/>
      <w:marTop w:val="0"/>
      <w:marBottom w:val="0"/>
      <w:divBdr>
        <w:top w:val="none" w:sz="0" w:space="0" w:color="auto"/>
        <w:left w:val="none" w:sz="0" w:space="0" w:color="auto"/>
        <w:bottom w:val="none" w:sz="0" w:space="0" w:color="auto"/>
        <w:right w:val="none" w:sz="0" w:space="0" w:color="auto"/>
      </w:divBdr>
      <w:divsChild>
        <w:div w:id="1707174672">
          <w:marLeft w:val="0"/>
          <w:marRight w:val="0"/>
          <w:marTop w:val="0"/>
          <w:marBottom w:val="0"/>
          <w:divBdr>
            <w:top w:val="none" w:sz="0" w:space="0" w:color="auto"/>
            <w:left w:val="none" w:sz="0" w:space="0" w:color="auto"/>
            <w:bottom w:val="none" w:sz="0" w:space="0" w:color="auto"/>
            <w:right w:val="none" w:sz="0" w:space="0" w:color="auto"/>
          </w:divBdr>
          <w:divsChild>
            <w:div w:id="1000886470">
              <w:marLeft w:val="0"/>
              <w:marRight w:val="0"/>
              <w:marTop w:val="0"/>
              <w:marBottom w:val="0"/>
              <w:divBdr>
                <w:top w:val="none" w:sz="0" w:space="0" w:color="auto"/>
                <w:left w:val="none" w:sz="0" w:space="0" w:color="auto"/>
                <w:bottom w:val="none" w:sz="0" w:space="0" w:color="auto"/>
                <w:right w:val="none" w:sz="0" w:space="0" w:color="auto"/>
              </w:divBdr>
              <w:divsChild>
                <w:div w:id="13492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8243">
      <w:bodyDiv w:val="1"/>
      <w:marLeft w:val="0"/>
      <w:marRight w:val="0"/>
      <w:marTop w:val="0"/>
      <w:marBottom w:val="0"/>
      <w:divBdr>
        <w:top w:val="none" w:sz="0" w:space="0" w:color="auto"/>
        <w:left w:val="none" w:sz="0" w:space="0" w:color="auto"/>
        <w:bottom w:val="none" w:sz="0" w:space="0" w:color="auto"/>
        <w:right w:val="none" w:sz="0" w:space="0" w:color="auto"/>
      </w:divBdr>
      <w:divsChild>
        <w:div w:id="2027558499">
          <w:marLeft w:val="1166"/>
          <w:marRight w:val="0"/>
          <w:marTop w:val="67"/>
          <w:marBottom w:val="0"/>
          <w:divBdr>
            <w:top w:val="none" w:sz="0" w:space="0" w:color="auto"/>
            <w:left w:val="none" w:sz="0" w:space="0" w:color="auto"/>
            <w:bottom w:val="none" w:sz="0" w:space="0" w:color="auto"/>
            <w:right w:val="none" w:sz="0" w:space="0" w:color="auto"/>
          </w:divBdr>
        </w:div>
      </w:divsChild>
    </w:div>
    <w:div w:id="1980259489">
      <w:bodyDiv w:val="1"/>
      <w:marLeft w:val="0"/>
      <w:marRight w:val="0"/>
      <w:marTop w:val="0"/>
      <w:marBottom w:val="0"/>
      <w:divBdr>
        <w:top w:val="none" w:sz="0" w:space="0" w:color="auto"/>
        <w:left w:val="none" w:sz="0" w:space="0" w:color="auto"/>
        <w:bottom w:val="none" w:sz="0" w:space="0" w:color="auto"/>
        <w:right w:val="none" w:sz="0" w:space="0" w:color="auto"/>
      </w:divBdr>
      <w:divsChild>
        <w:div w:id="1844200703">
          <w:marLeft w:val="0"/>
          <w:marRight w:val="0"/>
          <w:marTop w:val="0"/>
          <w:marBottom w:val="0"/>
          <w:divBdr>
            <w:top w:val="none" w:sz="0" w:space="0" w:color="auto"/>
            <w:left w:val="none" w:sz="0" w:space="0" w:color="auto"/>
            <w:bottom w:val="none" w:sz="0" w:space="0" w:color="auto"/>
            <w:right w:val="none" w:sz="0" w:space="0" w:color="auto"/>
          </w:divBdr>
          <w:divsChild>
            <w:div w:id="1048795118">
              <w:marLeft w:val="0"/>
              <w:marRight w:val="0"/>
              <w:marTop w:val="0"/>
              <w:marBottom w:val="0"/>
              <w:divBdr>
                <w:top w:val="none" w:sz="0" w:space="0" w:color="auto"/>
                <w:left w:val="none" w:sz="0" w:space="0" w:color="auto"/>
                <w:bottom w:val="none" w:sz="0" w:space="0" w:color="auto"/>
                <w:right w:val="none" w:sz="0" w:space="0" w:color="auto"/>
              </w:divBdr>
              <w:divsChild>
                <w:div w:id="7949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4476">
      <w:bodyDiv w:val="1"/>
      <w:marLeft w:val="0"/>
      <w:marRight w:val="0"/>
      <w:marTop w:val="0"/>
      <w:marBottom w:val="0"/>
      <w:divBdr>
        <w:top w:val="none" w:sz="0" w:space="0" w:color="auto"/>
        <w:left w:val="none" w:sz="0" w:space="0" w:color="auto"/>
        <w:bottom w:val="none" w:sz="0" w:space="0" w:color="auto"/>
        <w:right w:val="none" w:sz="0" w:space="0" w:color="auto"/>
      </w:divBdr>
      <w:divsChild>
        <w:div w:id="1338070075">
          <w:marLeft w:val="0"/>
          <w:marRight w:val="0"/>
          <w:marTop w:val="0"/>
          <w:marBottom w:val="0"/>
          <w:divBdr>
            <w:top w:val="none" w:sz="0" w:space="0" w:color="auto"/>
            <w:left w:val="none" w:sz="0" w:space="0" w:color="auto"/>
            <w:bottom w:val="none" w:sz="0" w:space="0" w:color="auto"/>
            <w:right w:val="none" w:sz="0" w:space="0" w:color="auto"/>
          </w:divBdr>
          <w:divsChild>
            <w:div w:id="1571384403">
              <w:marLeft w:val="0"/>
              <w:marRight w:val="0"/>
              <w:marTop w:val="0"/>
              <w:marBottom w:val="0"/>
              <w:divBdr>
                <w:top w:val="none" w:sz="0" w:space="0" w:color="auto"/>
                <w:left w:val="none" w:sz="0" w:space="0" w:color="auto"/>
                <w:bottom w:val="none" w:sz="0" w:space="0" w:color="auto"/>
                <w:right w:val="none" w:sz="0" w:space="0" w:color="auto"/>
              </w:divBdr>
              <w:divsChild>
                <w:div w:id="296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8981">
      <w:bodyDiv w:val="1"/>
      <w:marLeft w:val="0"/>
      <w:marRight w:val="0"/>
      <w:marTop w:val="0"/>
      <w:marBottom w:val="0"/>
      <w:divBdr>
        <w:top w:val="none" w:sz="0" w:space="0" w:color="auto"/>
        <w:left w:val="none" w:sz="0" w:space="0" w:color="auto"/>
        <w:bottom w:val="none" w:sz="0" w:space="0" w:color="auto"/>
        <w:right w:val="none" w:sz="0" w:space="0" w:color="auto"/>
      </w:divBdr>
      <w:divsChild>
        <w:div w:id="677584674">
          <w:marLeft w:val="0"/>
          <w:marRight w:val="0"/>
          <w:marTop w:val="0"/>
          <w:marBottom w:val="0"/>
          <w:divBdr>
            <w:top w:val="none" w:sz="0" w:space="0" w:color="auto"/>
            <w:left w:val="none" w:sz="0" w:space="0" w:color="auto"/>
            <w:bottom w:val="none" w:sz="0" w:space="0" w:color="auto"/>
            <w:right w:val="none" w:sz="0" w:space="0" w:color="auto"/>
          </w:divBdr>
          <w:divsChild>
            <w:div w:id="982319946">
              <w:marLeft w:val="0"/>
              <w:marRight w:val="0"/>
              <w:marTop w:val="0"/>
              <w:marBottom w:val="0"/>
              <w:divBdr>
                <w:top w:val="none" w:sz="0" w:space="0" w:color="auto"/>
                <w:left w:val="none" w:sz="0" w:space="0" w:color="auto"/>
                <w:bottom w:val="none" w:sz="0" w:space="0" w:color="auto"/>
                <w:right w:val="none" w:sz="0" w:space="0" w:color="auto"/>
              </w:divBdr>
              <w:divsChild>
                <w:div w:id="14843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075">
      <w:bodyDiv w:val="1"/>
      <w:marLeft w:val="0"/>
      <w:marRight w:val="0"/>
      <w:marTop w:val="0"/>
      <w:marBottom w:val="0"/>
      <w:divBdr>
        <w:top w:val="none" w:sz="0" w:space="0" w:color="auto"/>
        <w:left w:val="none" w:sz="0" w:space="0" w:color="auto"/>
        <w:bottom w:val="none" w:sz="0" w:space="0" w:color="auto"/>
        <w:right w:val="none" w:sz="0" w:space="0" w:color="auto"/>
      </w:divBdr>
      <w:divsChild>
        <w:div w:id="1072118945">
          <w:marLeft w:val="1166"/>
          <w:marRight w:val="0"/>
          <w:marTop w:val="91"/>
          <w:marBottom w:val="0"/>
          <w:divBdr>
            <w:top w:val="none" w:sz="0" w:space="0" w:color="auto"/>
            <w:left w:val="none" w:sz="0" w:space="0" w:color="auto"/>
            <w:bottom w:val="none" w:sz="0" w:space="0" w:color="auto"/>
            <w:right w:val="none" w:sz="0" w:space="0" w:color="auto"/>
          </w:divBdr>
        </w:div>
      </w:divsChild>
    </w:div>
    <w:div w:id="2122021225">
      <w:bodyDiv w:val="1"/>
      <w:marLeft w:val="0"/>
      <w:marRight w:val="0"/>
      <w:marTop w:val="0"/>
      <w:marBottom w:val="0"/>
      <w:divBdr>
        <w:top w:val="none" w:sz="0" w:space="0" w:color="auto"/>
        <w:left w:val="none" w:sz="0" w:space="0" w:color="auto"/>
        <w:bottom w:val="none" w:sz="0" w:space="0" w:color="auto"/>
        <w:right w:val="none" w:sz="0" w:space="0" w:color="auto"/>
      </w:divBdr>
      <w:divsChild>
        <w:div w:id="144668797">
          <w:marLeft w:val="1166"/>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8226-FE89-C444-996D-0D507846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38</Pages>
  <Words>7176</Words>
  <Characters>40904</Characters>
  <Application>Microsoft Macintosh Word</Application>
  <DocSecurity>0</DocSecurity>
  <Lines>340</Lines>
  <Paragraphs>95</Paragraphs>
  <ScaleCrop>false</ScaleCrop>
  <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Ball-Blakely</dc:creator>
  <cp:keywords/>
  <dc:description/>
  <cp:lastModifiedBy>Christine Ball-Blakely</cp:lastModifiedBy>
  <cp:revision>226</cp:revision>
  <cp:lastPrinted>2017-04-10T05:37:00Z</cp:lastPrinted>
  <dcterms:created xsi:type="dcterms:W3CDTF">2017-04-10T05:37:00Z</dcterms:created>
  <dcterms:modified xsi:type="dcterms:W3CDTF">2017-04-28T04:39:00Z</dcterms:modified>
</cp:coreProperties>
</file>